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0B30" w14:textId="77777777" w:rsidR="00925B56" w:rsidRPr="00925B56" w:rsidRDefault="00925B56" w:rsidP="00925B56">
      <w:pPr>
        <w:jc w:val="center"/>
        <w:rPr>
          <w:b/>
          <w:bCs/>
        </w:rPr>
      </w:pPr>
      <w:r w:rsidRPr="00925B56">
        <w:rPr>
          <w:b/>
          <w:bCs/>
        </w:rPr>
        <w:t>Cybersecurity Investigation and Threat Analysis Unit (CITA)</w:t>
      </w:r>
    </w:p>
    <w:p w14:paraId="1A9FF513" w14:textId="77777777" w:rsidR="00925B56" w:rsidRPr="00925B56" w:rsidRDefault="00925B56" w:rsidP="00925B56">
      <w:pPr>
        <w:jc w:val="center"/>
        <w:rPr>
          <w:b/>
          <w:bCs/>
        </w:rPr>
      </w:pPr>
      <w:r w:rsidRPr="00925B56">
        <w:rPr>
          <w:b/>
          <w:bCs/>
        </w:rPr>
        <w:t>Threat Hunting Investigation Process</w:t>
      </w:r>
    </w:p>
    <w:p w14:paraId="05899C11" w14:textId="77777777" w:rsidR="00925B56" w:rsidRPr="00925B56" w:rsidRDefault="00925B56" w:rsidP="00925B56">
      <w:pPr>
        <w:jc w:val="center"/>
      </w:pPr>
      <w:r w:rsidRPr="00925B56">
        <w:rPr>
          <w:b/>
          <w:bCs/>
        </w:rPr>
        <w:t>Standard Operating Procedure (SOP)</w:t>
      </w:r>
    </w:p>
    <w:tbl>
      <w:tblPr>
        <w:tblStyle w:val="TableGrid"/>
        <w:tblW w:w="0" w:type="auto"/>
        <w:tblLook w:val="04A0" w:firstRow="1" w:lastRow="0" w:firstColumn="1" w:lastColumn="0" w:noHBand="0" w:noVBand="1"/>
      </w:tblPr>
      <w:tblGrid>
        <w:gridCol w:w="1223"/>
        <w:gridCol w:w="3398"/>
        <w:gridCol w:w="1765"/>
        <w:gridCol w:w="1625"/>
        <w:gridCol w:w="1339"/>
      </w:tblGrid>
      <w:tr w:rsidR="00C048A1" w:rsidRPr="00C048A1" w14:paraId="56188711" w14:textId="77777777" w:rsidTr="00C048A1">
        <w:trPr>
          <w:trHeight w:val="255"/>
        </w:trPr>
        <w:tc>
          <w:tcPr>
            <w:tcW w:w="1223" w:type="dxa"/>
          </w:tcPr>
          <w:p w14:paraId="218D70F3" w14:textId="77777777" w:rsidR="00C048A1" w:rsidRPr="00C048A1" w:rsidRDefault="00C048A1" w:rsidP="00CE35EE">
            <w:pPr>
              <w:rPr>
                <w:rFonts w:asciiTheme="minorHAnsi" w:hAnsiTheme="minorHAnsi"/>
                <w:b/>
                <w:sz w:val="24"/>
                <w:szCs w:val="24"/>
              </w:rPr>
            </w:pPr>
            <w:r w:rsidRPr="00C048A1">
              <w:rPr>
                <w:rFonts w:asciiTheme="minorHAnsi" w:hAnsiTheme="minorHAnsi"/>
                <w:b/>
                <w:sz w:val="24"/>
                <w:szCs w:val="24"/>
              </w:rPr>
              <w:t>SOP#</w:t>
            </w:r>
          </w:p>
        </w:tc>
        <w:tc>
          <w:tcPr>
            <w:tcW w:w="3490" w:type="dxa"/>
          </w:tcPr>
          <w:p w14:paraId="4A32D672" w14:textId="77777777" w:rsidR="00C048A1" w:rsidRPr="00C048A1" w:rsidRDefault="00C048A1" w:rsidP="00CE35EE">
            <w:pPr>
              <w:rPr>
                <w:rFonts w:asciiTheme="minorHAnsi" w:hAnsiTheme="minorHAnsi"/>
                <w:b/>
                <w:sz w:val="24"/>
                <w:szCs w:val="24"/>
              </w:rPr>
            </w:pPr>
            <w:r w:rsidRPr="00C048A1">
              <w:rPr>
                <w:rFonts w:asciiTheme="minorHAnsi" w:hAnsiTheme="minorHAnsi"/>
                <w:b/>
                <w:sz w:val="24"/>
                <w:szCs w:val="24"/>
              </w:rPr>
              <w:t xml:space="preserve">                         Description</w:t>
            </w:r>
          </w:p>
        </w:tc>
        <w:tc>
          <w:tcPr>
            <w:tcW w:w="1775" w:type="dxa"/>
          </w:tcPr>
          <w:p w14:paraId="1B59A7C9" w14:textId="77777777" w:rsidR="00C048A1" w:rsidRPr="00C048A1" w:rsidRDefault="00C048A1" w:rsidP="00CE35EE">
            <w:pPr>
              <w:rPr>
                <w:rFonts w:asciiTheme="minorHAnsi" w:hAnsiTheme="minorHAnsi"/>
                <w:b/>
                <w:sz w:val="24"/>
                <w:szCs w:val="24"/>
              </w:rPr>
            </w:pPr>
            <w:r w:rsidRPr="00C048A1">
              <w:rPr>
                <w:rFonts w:asciiTheme="minorHAnsi" w:hAnsiTheme="minorHAnsi"/>
                <w:b/>
                <w:sz w:val="24"/>
                <w:szCs w:val="24"/>
              </w:rPr>
              <w:t>Effective</w:t>
            </w:r>
          </w:p>
        </w:tc>
        <w:tc>
          <w:tcPr>
            <w:tcW w:w="1637" w:type="dxa"/>
          </w:tcPr>
          <w:p w14:paraId="598691BA" w14:textId="77777777" w:rsidR="00C048A1" w:rsidRPr="00C048A1" w:rsidRDefault="00C048A1" w:rsidP="00CE35EE">
            <w:pPr>
              <w:rPr>
                <w:rFonts w:asciiTheme="minorHAnsi" w:hAnsiTheme="minorHAnsi"/>
                <w:b/>
                <w:sz w:val="24"/>
                <w:szCs w:val="24"/>
              </w:rPr>
            </w:pPr>
            <w:r w:rsidRPr="00C048A1">
              <w:rPr>
                <w:rFonts w:asciiTheme="minorHAnsi" w:hAnsiTheme="minorHAnsi"/>
                <w:b/>
                <w:sz w:val="24"/>
                <w:szCs w:val="24"/>
              </w:rPr>
              <w:t>Last Edit</w:t>
            </w:r>
          </w:p>
        </w:tc>
        <w:tc>
          <w:tcPr>
            <w:tcW w:w="1225" w:type="dxa"/>
          </w:tcPr>
          <w:p w14:paraId="1A915FE5" w14:textId="77777777" w:rsidR="00C048A1" w:rsidRPr="00C048A1" w:rsidRDefault="00C048A1" w:rsidP="00CE35EE">
            <w:pPr>
              <w:rPr>
                <w:rFonts w:asciiTheme="minorHAnsi" w:hAnsiTheme="minorHAnsi"/>
                <w:b/>
                <w:sz w:val="24"/>
                <w:szCs w:val="24"/>
              </w:rPr>
            </w:pPr>
            <w:r w:rsidRPr="00C048A1">
              <w:rPr>
                <w:rFonts w:asciiTheme="minorHAnsi" w:hAnsiTheme="minorHAnsi"/>
                <w:b/>
                <w:sz w:val="24"/>
                <w:szCs w:val="24"/>
              </w:rPr>
              <w:t>Cancelled</w:t>
            </w:r>
          </w:p>
        </w:tc>
      </w:tr>
      <w:tr w:rsidR="00C048A1" w:rsidRPr="00C048A1" w14:paraId="69A436B5" w14:textId="77777777" w:rsidTr="00C048A1">
        <w:trPr>
          <w:trHeight w:val="255"/>
        </w:trPr>
        <w:tc>
          <w:tcPr>
            <w:tcW w:w="1223" w:type="dxa"/>
            <w:hideMark/>
          </w:tcPr>
          <w:p w14:paraId="06027DD5"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CITA-XXX</w:t>
            </w:r>
          </w:p>
        </w:tc>
        <w:tc>
          <w:tcPr>
            <w:tcW w:w="3490" w:type="dxa"/>
            <w:hideMark/>
          </w:tcPr>
          <w:p w14:paraId="28A20203"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Cybersecurity Operations and Response Center – Threat Hunting and Analysis</w:t>
            </w:r>
          </w:p>
        </w:tc>
        <w:tc>
          <w:tcPr>
            <w:tcW w:w="1775" w:type="dxa"/>
          </w:tcPr>
          <w:p w14:paraId="6A33F851"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mm/dd/2025</w:t>
            </w:r>
          </w:p>
        </w:tc>
        <w:tc>
          <w:tcPr>
            <w:tcW w:w="1637" w:type="dxa"/>
          </w:tcPr>
          <w:p w14:paraId="66CA2359"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12/14/2025</w:t>
            </w:r>
          </w:p>
        </w:tc>
        <w:tc>
          <w:tcPr>
            <w:tcW w:w="1225" w:type="dxa"/>
          </w:tcPr>
          <w:p w14:paraId="73BB0B0F" w14:textId="77777777" w:rsidR="00C048A1" w:rsidRPr="00C048A1" w:rsidRDefault="00C048A1" w:rsidP="00CE35EE">
            <w:pPr>
              <w:rPr>
                <w:rFonts w:asciiTheme="minorHAnsi" w:hAnsiTheme="minorHAnsi"/>
                <w:sz w:val="24"/>
                <w:szCs w:val="24"/>
              </w:rPr>
            </w:pPr>
          </w:p>
        </w:tc>
      </w:tr>
      <w:tr w:rsidR="00C048A1" w:rsidRPr="00C048A1" w14:paraId="5137BCE5" w14:textId="77777777" w:rsidTr="00C048A1">
        <w:trPr>
          <w:trHeight w:val="255"/>
        </w:trPr>
        <w:tc>
          <w:tcPr>
            <w:tcW w:w="1223" w:type="dxa"/>
          </w:tcPr>
          <w:p w14:paraId="5BD3AC1F"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Approved by</w:t>
            </w:r>
          </w:p>
        </w:tc>
        <w:tc>
          <w:tcPr>
            <w:tcW w:w="8127" w:type="dxa"/>
            <w:gridSpan w:val="4"/>
          </w:tcPr>
          <w:p w14:paraId="627F1074" w14:textId="77777777" w:rsidR="00C048A1" w:rsidRPr="00C048A1" w:rsidRDefault="00C048A1" w:rsidP="00CE35EE">
            <w:pPr>
              <w:rPr>
                <w:rFonts w:asciiTheme="minorHAnsi" w:hAnsiTheme="minorHAnsi"/>
                <w:sz w:val="24"/>
                <w:szCs w:val="24"/>
              </w:rPr>
            </w:pPr>
            <w:r w:rsidRPr="00C048A1">
              <w:rPr>
                <w:rFonts w:asciiTheme="minorHAnsi" w:hAnsiTheme="minorHAnsi"/>
                <w:sz w:val="24"/>
                <w:szCs w:val="24"/>
              </w:rPr>
              <w:t>Brian Jones, Chief CITA</w:t>
            </w:r>
          </w:p>
          <w:p w14:paraId="3FA72142" w14:textId="77777777" w:rsidR="00C048A1" w:rsidRPr="00C048A1" w:rsidRDefault="00C048A1" w:rsidP="00CE35EE">
            <w:pPr>
              <w:rPr>
                <w:rFonts w:asciiTheme="minorHAnsi" w:hAnsiTheme="minorHAnsi"/>
                <w:sz w:val="24"/>
                <w:szCs w:val="24"/>
              </w:rPr>
            </w:pPr>
          </w:p>
          <w:p w14:paraId="09B3C921" w14:textId="77777777" w:rsidR="00C048A1" w:rsidRPr="00C048A1" w:rsidRDefault="00C048A1" w:rsidP="00CE35EE">
            <w:pPr>
              <w:rPr>
                <w:rFonts w:asciiTheme="minorHAnsi" w:hAnsiTheme="minorHAnsi"/>
                <w:sz w:val="24"/>
                <w:szCs w:val="24"/>
              </w:rPr>
            </w:pPr>
          </w:p>
        </w:tc>
      </w:tr>
    </w:tbl>
    <w:p w14:paraId="5DAEB583" w14:textId="77777777" w:rsidR="00925B56" w:rsidRPr="00925B56" w:rsidRDefault="00925B56" w:rsidP="00925B56">
      <w:r w:rsidRPr="00925B56">
        <w:pict w14:anchorId="1C4DD8E9">
          <v:rect id="_x0000_i1085" style="width:0;height:1.5pt" o:hralign="center" o:hrstd="t" o:hr="t" fillcolor="#a0a0a0" stroked="f"/>
        </w:pict>
      </w:r>
    </w:p>
    <w:p w14:paraId="127654B5" w14:textId="77777777" w:rsidR="00925B56" w:rsidRPr="00925B56" w:rsidRDefault="00925B56" w:rsidP="00925B56">
      <w:pPr>
        <w:rPr>
          <w:b/>
          <w:bCs/>
        </w:rPr>
      </w:pPr>
      <w:r w:rsidRPr="00925B56">
        <w:rPr>
          <w:b/>
          <w:bCs/>
        </w:rPr>
        <w:t>1. Purpose</w:t>
      </w:r>
    </w:p>
    <w:p w14:paraId="609C6FBB" w14:textId="77777777" w:rsidR="00925B56" w:rsidRPr="00925B56" w:rsidRDefault="00925B56" w:rsidP="00925B56">
      <w:r w:rsidRPr="00925B56">
        <w:t>This Standard Operating Procedure (SOP) defines the Threat Hunting and Analysis framework used by the Cybersecurity Investigation and Threat Analysis Unit (CITA). The framework establishes a consistent, NIST-aligned approach for proactively identifying, investigating, analyzing, and reporting cybersecurity threats and incidents affecting Cyber Support Agency (CSA) information systems and assets.</w:t>
      </w:r>
    </w:p>
    <w:p w14:paraId="6C7739D0" w14:textId="77777777" w:rsidR="00925B56" w:rsidRPr="00925B56" w:rsidRDefault="00925B56" w:rsidP="00925B56">
      <w:r w:rsidRPr="00925B56">
        <w:t>This SOP applies to all threat hunting and investigative activities conducted within the Cybersecurity Operations and Response Center (</w:t>
      </w:r>
      <w:proofErr w:type="spellStart"/>
      <w:r w:rsidRPr="00925B56">
        <w:t>CORe</w:t>
      </w:r>
      <w:proofErr w:type="spellEnd"/>
      <w:r w:rsidRPr="00925B56">
        <w:t>).</w:t>
      </w:r>
    </w:p>
    <w:p w14:paraId="34F1DB72" w14:textId="77777777" w:rsidR="00925B56" w:rsidRPr="00925B56" w:rsidRDefault="00925B56" w:rsidP="00925B56">
      <w:r w:rsidRPr="00925B56">
        <w:pict w14:anchorId="718728A0">
          <v:rect id="_x0000_i1086" style="width:0;height:1.5pt" o:hralign="center" o:hrstd="t" o:hr="t" fillcolor="#a0a0a0" stroked="f"/>
        </w:pict>
      </w:r>
    </w:p>
    <w:p w14:paraId="3D7C7A0F" w14:textId="77777777" w:rsidR="00925B56" w:rsidRPr="00925B56" w:rsidRDefault="00925B56" w:rsidP="00925B56">
      <w:pPr>
        <w:rPr>
          <w:b/>
          <w:bCs/>
        </w:rPr>
      </w:pPr>
      <w:r w:rsidRPr="00925B56">
        <w:rPr>
          <w:b/>
          <w:bCs/>
        </w:rPr>
        <w:t>2. Document Control</w:t>
      </w:r>
    </w:p>
    <w:p w14:paraId="6B635C86" w14:textId="77777777" w:rsidR="00925B56" w:rsidRPr="00925B56" w:rsidRDefault="00925B56" w:rsidP="00925B56">
      <w:r w:rsidRPr="00925B56">
        <w:t>It is the responsibility of all personnel to ensure they are using the most current version of this SOP. Questions regarding this document should be directed to the CITA Unit Chief.</w:t>
      </w:r>
    </w:p>
    <w:p w14:paraId="5DE18108" w14:textId="77777777" w:rsidR="00925B56" w:rsidRPr="00925B56" w:rsidRDefault="00925B56" w:rsidP="00925B56">
      <w:r w:rsidRPr="00925B56">
        <w:t>This SOP supersedes all prior CITA threat hunting and analysis procedures unless explicitly retained by written exception.</w:t>
      </w:r>
    </w:p>
    <w:p w14:paraId="2F1FEF97" w14:textId="77777777" w:rsidR="00925B56" w:rsidRPr="00925B56" w:rsidRDefault="00925B56" w:rsidP="00925B56">
      <w:r w:rsidRPr="00925B56">
        <w:pict w14:anchorId="692E74FD">
          <v:rect id="_x0000_i1087" style="width:0;height:1.5pt" o:hralign="center" o:hrstd="t" o:hr="t" fillcolor="#a0a0a0" stroked="f"/>
        </w:pict>
      </w:r>
    </w:p>
    <w:p w14:paraId="77374BF8" w14:textId="77777777" w:rsidR="00925B56" w:rsidRPr="00925B56" w:rsidRDefault="00925B56" w:rsidP="00925B56">
      <w:pPr>
        <w:rPr>
          <w:b/>
          <w:bCs/>
        </w:rPr>
      </w:pPr>
      <w:r w:rsidRPr="00925B56">
        <w:rPr>
          <w:b/>
          <w:bCs/>
        </w:rPr>
        <w:t>3. References</w:t>
      </w:r>
    </w:p>
    <w:p w14:paraId="1F6A5A50" w14:textId="77777777" w:rsidR="00925B56" w:rsidRPr="00925B56" w:rsidRDefault="00925B56" w:rsidP="00925B56">
      <w:pPr>
        <w:numPr>
          <w:ilvl w:val="0"/>
          <w:numId w:val="1"/>
        </w:numPr>
      </w:pPr>
      <w:r w:rsidRPr="00925B56">
        <w:t xml:space="preserve">NIST SP 800-61 Rev. 2, </w:t>
      </w:r>
      <w:r w:rsidRPr="00925B56">
        <w:rPr>
          <w:i/>
          <w:iCs/>
        </w:rPr>
        <w:t>Computer Security Incident Handling Guide</w:t>
      </w:r>
    </w:p>
    <w:p w14:paraId="4E177439" w14:textId="77777777" w:rsidR="00925B56" w:rsidRPr="00925B56" w:rsidRDefault="00925B56" w:rsidP="00925B56">
      <w:pPr>
        <w:numPr>
          <w:ilvl w:val="0"/>
          <w:numId w:val="1"/>
        </w:numPr>
      </w:pPr>
      <w:r w:rsidRPr="00925B56">
        <w:t xml:space="preserve">NIST SP 800-86, </w:t>
      </w:r>
      <w:r w:rsidRPr="00925B56">
        <w:rPr>
          <w:i/>
          <w:iCs/>
        </w:rPr>
        <w:t>Guide to Integrating Forensic Techniques into Incident Response</w:t>
      </w:r>
    </w:p>
    <w:p w14:paraId="74D27B48" w14:textId="77777777" w:rsidR="00925B56" w:rsidRPr="00925B56" w:rsidRDefault="00925B56" w:rsidP="00925B56">
      <w:pPr>
        <w:numPr>
          <w:ilvl w:val="0"/>
          <w:numId w:val="1"/>
        </w:numPr>
      </w:pPr>
      <w:r w:rsidRPr="00925B56">
        <w:t xml:space="preserve">NIST SP 800-30 Rev. 1, </w:t>
      </w:r>
      <w:r w:rsidRPr="00925B56">
        <w:rPr>
          <w:i/>
          <w:iCs/>
        </w:rPr>
        <w:t>Guide for Conducting Risk Assessments</w:t>
      </w:r>
    </w:p>
    <w:p w14:paraId="49D06B6C" w14:textId="77777777" w:rsidR="00925B56" w:rsidRPr="00925B56" w:rsidRDefault="00925B56" w:rsidP="00925B56">
      <w:r w:rsidRPr="00925B56">
        <w:pict w14:anchorId="364AF949">
          <v:rect id="_x0000_i1088" style="width:0;height:1.5pt" o:hralign="center" o:hrstd="t" o:hr="t" fillcolor="#a0a0a0" stroked="f"/>
        </w:pict>
      </w:r>
    </w:p>
    <w:p w14:paraId="5BB5E839" w14:textId="77777777" w:rsidR="00925B56" w:rsidRPr="00925B56" w:rsidRDefault="00925B56" w:rsidP="00925B56">
      <w:pPr>
        <w:rPr>
          <w:b/>
          <w:bCs/>
        </w:rPr>
      </w:pPr>
      <w:r w:rsidRPr="00925B56">
        <w:rPr>
          <w:b/>
          <w:bCs/>
        </w:rPr>
        <w:lastRenderedPageBreak/>
        <w:t>4. Introduction</w:t>
      </w:r>
    </w:p>
    <w:p w14:paraId="6C9AB250" w14:textId="77777777" w:rsidR="00925B56" w:rsidRPr="00925B56" w:rsidRDefault="00925B56" w:rsidP="00925B56">
      <w:r w:rsidRPr="00925B56">
        <w:t>The Cybersecurity Operations and Response Center (</w:t>
      </w:r>
      <w:proofErr w:type="spellStart"/>
      <w:r w:rsidRPr="00925B56">
        <w:t>CORe</w:t>
      </w:r>
      <w:proofErr w:type="spellEnd"/>
      <w:r w:rsidRPr="00925B56">
        <w:t xml:space="preserve">) serves as the first line of defense for detecting, investigating, and responding to cybersecurity incidents across CSA infrastructure. </w:t>
      </w:r>
      <w:proofErr w:type="spellStart"/>
      <w:r w:rsidRPr="00925B56">
        <w:t>CORe</w:t>
      </w:r>
      <w:proofErr w:type="spellEnd"/>
      <w:r w:rsidRPr="00925B56">
        <w:t xml:space="preserve"> analysts defend CSA information assets against intrusions, unauthorized activity, vulnerabilities, and violations of acceptable use, policy, and procedure.</w:t>
      </w:r>
    </w:p>
    <w:p w14:paraId="05B79E94" w14:textId="77777777" w:rsidR="00925B56" w:rsidRPr="00925B56" w:rsidRDefault="00925B56" w:rsidP="00925B56">
      <w:r w:rsidRPr="00925B56">
        <w:t>Advanced Persistent Threats (APTs) pose a significant risk to the confidentiality, integrity, and availability of government information systems. Nation-state actors</w:t>
      </w:r>
      <w:proofErr w:type="gramStart"/>
      <w:r w:rsidRPr="00925B56">
        <w:t>, in particular, leverage</w:t>
      </w:r>
      <w:proofErr w:type="gramEnd"/>
      <w:r w:rsidRPr="00925B56">
        <w:t xml:space="preserve"> substantial resources to develop and deploy sophisticated capabilities designed to exfiltrate sensitive information and disrupt government operations. These threats often evade traditional perimeter defenses and persist within enterprise environments for extended periods.</w:t>
      </w:r>
    </w:p>
    <w:p w14:paraId="704B3C73" w14:textId="77777777" w:rsidR="00925B56" w:rsidRPr="00925B56" w:rsidRDefault="00925B56" w:rsidP="00925B56">
      <w:r w:rsidRPr="00925B56">
        <w:t xml:space="preserve">To counter these threats, </w:t>
      </w:r>
      <w:proofErr w:type="gramStart"/>
      <w:r w:rsidRPr="00925B56">
        <w:t xml:space="preserve">the </w:t>
      </w:r>
      <w:proofErr w:type="spellStart"/>
      <w:r w:rsidRPr="00925B56">
        <w:t>CORe</w:t>
      </w:r>
      <w:proofErr w:type="spellEnd"/>
      <w:proofErr w:type="gramEnd"/>
      <w:r w:rsidRPr="00925B56">
        <w:t xml:space="preserve"> employs a defense-in-depth strategy that combines automated detection, continuous monitoring, and proactive threat hunting. Threat hunting enables analysts to identify adversary activity that may not trigger automated alerts by examining logs, telemetry, and behavioral anomalies across networks, systems, applications, and data stores.</w:t>
      </w:r>
    </w:p>
    <w:p w14:paraId="115AF9D2" w14:textId="77777777" w:rsidR="00925B56" w:rsidRPr="00925B56" w:rsidRDefault="00925B56" w:rsidP="00925B56">
      <w:r w:rsidRPr="00925B56">
        <w:pict w14:anchorId="754A2428">
          <v:rect id="_x0000_i1089" style="width:0;height:1.5pt" o:hralign="center" o:hrstd="t" o:hr="t" fillcolor="#a0a0a0" stroked="f"/>
        </w:pict>
      </w:r>
    </w:p>
    <w:p w14:paraId="6A2EB272" w14:textId="77777777" w:rsidR="00925B56" w:rsidRPr="00925B56" w:rsidRDefault="00925B56" w:rsidP="00925B56">
      <w:pPr>
        <w:rPr>
          <w:b/>
          <w:bCs/>
        </w:rPr>
      </w:pPr>
      <w:r w:rsidRPr="00925B56">
        <w:rPr>
          <w:b/>
          <w:bCs/>
        </w:rPr>
        <w:t>5. Overview of the Threat Hunting Investigation Process</w:t>
      </w:r>
    </w:p>
    <w:p w14:paraId="1C80B25B" w14:textId="77777777" w:rsidR="00925B56" w:rsidRDefault="00925B56" w:rsidP="00925B56">
      <w:r w:rsidRPr="00925B56">
        <w:t xml:space="preserve">Threat hunting within </w:t>
      </w:r>
      <w:proofErr w:type="gramStart"/>
      <w:r w:rsidRPr="00925B56">
        <w:t xml:space="preserve">the </w:t>
      </w:r>
      <w:proofErr w:type="spellStart"/>
      <w:r w:rsidRPr="00925B56">
        <w:t>CORe</w:t>
      </w:r>
      <w:proofErr w:type="spellEnd"/>
      <w:proofErr w:type="gramEnd"/>
      <w:r w:rsidRPr="00925B56">
        <w:t xml:space="preserve"> integrates with established incident response processes and leverages both automated alerts and analyst-driven discovery. Alerts may originate from security tools such as Splunk, as well as from reports submitted by Joint Security Operations Center (JSOC), CSA system owners, and the CSA Service Desk.</w:t>
      </w:r>
    </w:p>
    <w:p w14:paraId="4BC653A5" w14:textId="63C401F9" w:rsidR="00925B56" w:rsidRDefault="00925B56" w:rsidP="00925B56">
      <w:pPr>
        <w:jc w:val="center"/>
      </w:pPr>
      <w:r>
        <w:rPr>
          <w:noProof/>
          <w:color w:val="000000"/>
        </w:rPr>
        <w:lastRenderedPageBreak/>
        <w:drawing>
          <wp:inline distT="0" distB="0" distL="0" distR="0" wp14:anchorId="718C8D23" wp14:editId="380F7632">
            <wp:extent cx="4427872" cy="381380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431" cy="3815149"/>
                    </a:xfrm>
                    <a:prstGeom prst="rect">
                      <a:avLst/>
                    </a:prstGeom>
                    <a:noFill/>
                  </pic:spPr>
                </pic:pic>
              </a:graphicData>
            </a:graphic>
          </wp:inline>
        </w:drawing>
      </w:r>
    </w:p>
    <w:p w14:paraId="5122C291" w14:textId="77777777" w:rsidR="00925B56" w:rsidRDefault="00925B56" w:rsidP="00925B56">
      <w:pPr>
        <w:pStyle w:val="Caption"/>
        <w:jc w:val="center"/>
        <w:rPr>
          <w:color w:val="000000"/>
        </w:rPr>
      </w:pPr>
      <w:r>
        <w:t xml:space="preserve">Figure </w:t>
      </w:r>
      <w:r>
        <w:fldChar w:fldCharType="begin"/>
      </w:r>
      <w:r>
        <w:instrText xml:space="preserve"> SEQ Figure \* ARABIC </w:instrText>
      </w:r>
      <w:r>
        <w:fldChar w:fldCharType="separate"/>
      </w:r>
      <w:r>
        <w:rPr>
          <w:noProof/>
        </w:rPr>
        <w:t>1</w:t>
      </w:r>
      <w:r>
        <w:rPr>
          <w:noProof/>
        </w:rPr>
        <w:fldChar w:fldCharType="end"/>
      </w:r>
      <w:r>
        <w:t>: Threat Hunting Investigation Process</w:t>
      </w:r>
    </w:p>
    <w:p w14:paraId="12EAB4B2" w14:textId="77777777" w:rsidR="00925B56" w:rsidRPr="00925B56" w:rsidRDefault="00925B56" w:rsidP="00925B56">
      <w:pPr>
        <w:jc w:val="center"/>
      </w:pPr>
    </w:p>
    <w:p w14:paraId="104718F7" w14:textId="77777777" w:rsidR="00925B56" w:rsidRPr="00925B56" w:rsidRDefault="00925B56" w:rsidP="00925B56">
      <w:r w:rsidRPr="00925B56">
        <w:t xml:space="preserve">Threat hunting is a proactive, hypothesis-driven activity conducted continuously across all shifts. The </w:t>
      </w:r>
      <w:proofErr w:type="spellStart"/>
      <w:r w:rsidRPr="00925B56">
        <w:t>CORe</w:t>
      </w:r>
      <w:proofErr w:type="spellEnd"/>
      <w:r w:rsidRPr="00925B56">
        <w:t xml:space="preserve"> maintains </w:t>
      </w:r>
      <w:proofErr w:type="gramStart"/>
      <w:r w:rsidRPr="00925B56">
        <w:t>a 24x7</w:t>
      </w:r>
      <w:proofErr w:type="gramEnd"/>
      <w:r w:rsidRPr="00925B56">
        <w:t xml:space="preserve"> threat hunting capability supported by persistent access to investigative tools and data sources.</w:t>
      </w:r>
    </w:p>
    <w:p w14:paraId="12956F49" w14:textId="77777777" w:rsidR="00925B56" w:rsidRPr="00925B56" w:rsidRDefault="00925B56" w:rsidP="00925B56">
      <w:r w:rsidRPr="00925B56">
        <w:t>This SOP adopts the four-phase forensic investigation model defined in NIST SP 800-86:</w:t>
      </w:r>
    </w:p>
    <w:p w14:paraId="09DAF5CD" w14:textId="77777777" w:rsidR="00925B56" w:rsidRPr="00925B56" w:rsidRDefault="00925B56" w:rsidP="00925B56">
      <w:pPr>
        <w:numPr>
          <w:ilvl w:val="0"/>
          <w:numId w:val="2"/>
        </w:numPr>
      </w:pPr>
      <w:r w:rsidRPr="00925B56">
        <w:t>Collection</w:t>
      </w:r>
    </w:p>
    <w:p w14:paraId="30146861" w14:textId="77777777" w:rsidR="00925B56" w:rsidRPr="00925B56" w:rsidRDefault="00925B56" w:rsidP="00925B56">
      <w:pPr>
        <w:numPr>
          <w:ilvl w:val="0"/>
          <w:numId w:val="2"/>
        </w:numPr>
      </w:pPr>
      <w:r w:rsidRPr="00925B56">
        <w:t>Examination</w:t>
      </w:r>
    </w:p>
    <w:p w14:paraId="19F51FD7" w14:textId="77777777" w:rsidR="00925B56" w:rsidRPr="00925B56" w:rsidRDefault="00925B56" w:rsidP="00925B56">
      <w:pPr>
        <w:numPr>
          <w:ilvl w:val="0"/>
          <w:numId w:val="2"/>
        </w:numPr>
      </w:pPr>
      <w:r w:rsidRPr="00925B56">
        <w:t>Analysis</w:t>
      </w:r>
    </w:p>
    <w:p w14:paraId="6BD34356" w14:textId="77777777" w:rsidR="00925B56" w:rsidRPr="00925B56" w:rsidRDefault="00925B56" w:rsidP="00925B56">
      <w:pPr>
        <w:numPr>
          <w:ilvl w:val="0"/>
          <w:numId w:val="2"/>
        </w:numPr>
      </w:pPr>
      <w:r w:rsidRPr="00925B56">
        <w:t>Reporting</w:t>
      </w:r>
    </w:p>
    <w:p w14:paraId="22CB17FB" w14:textId="77777777" w:rsidR="00925B56" w:rsidRPr="00925B56" w:rsidRDefault="00925B56" w:rsidP="00925B56">
      <w:r w:rsidRPr="00925B56">
        <w:t xml:space="preserve">These phases provide a structured and repeatable framework for conducting threat hunting investigations within the </w:t>
      </w:r>
      <w:proofErr w:type="spellStart"/>
      <w:r w:rsidRPr="00925B56">
        <w:t>CORe</w:t>
      </w:r>
      <w:proofErr w:type="spellEnd"/>
      <w:r w:rsidRPr="00925B56">
        <w:t>.</w:t>
      </w:r>
    </w:p>
    <w:p w14:paraId="6463B4A6" w14:textId="77777777" w:rsidR="00925B56" w:rsidRPr="00925B56" w:rsidRDefault="00925B56" w:rsidP="00925B56">
      <w:r w:rsidRPr="00925B56">
        <w:pict w14:anchorId="385A0D0A">
          <v:rect id="_x0000_i1090" style="width:0;height:1.5pt" o:hralign="center" o:hrstd="t" o:hr="t" fillcolor="#a0a0a0" stroked="f"/>
        </w:pict>
      </w:r>
    </w:p>
    <w:p w14:paraId="6016348C" w14:textId="77777777" w:rsidR="00925B56" w:rsidRPr="00925B56" w:rsidRDefault="00925B56" w:rsidP="00925B56">
      <w:pPr>
        <w:rPr>
          <w:b/>
          <w:bCs/>
        </w:rPr>
      </w:pPr>
      <w:r w:rsidRPr="00925B56">
        <w:rPr>
          <w:b/>
          <w:bCs/>
        </w:rPr>
        <w:t>6. Collection</w:t>
      </w:r>
    </w:p>
    <w:p w14:paraId="4EEABC72" w14:textId="77777777" w:rsidR="00925B56" w:rsidRPr="00925B56" w:rsidRDefault="00925B56" w:rsidP="00925B56">
      <w:r w:rsidRPr="00925B56">
        <w:lastRenderedPageBreak/>
        <w:t xml:space="preserve">During the Collection phase, </w:t>
      </w:r>
      <w:proofErr w:type="spellStart"/>
      <w:r w:rsidRPr="00925B56">
        <w:t>CORe</w:t>
      </w:r>
      <w:proofErr w:type="spellEnd"/>
      <w:r w:rsidRPr="00925B56">
        <w:t xml:space="preserve"> analysts identify, acquire, label, and preserve data relevant to the investigation. Collection activities must be conducted promptly to prevent data loss, contamination, or alteration.</w:t>
      </w:r>
    </w:p>
    <w:p w14:paraId="1E4C363C" w14:textId="77777777" w:rsidR="00925B56" w:rsidRPr="00925B56" w:rsidRDefault="00925B56" w:rsidP="00925B56">
      <w:pPr>
        <w:rPr>
          <w:b/>
          <w:bCs/>
        </w:rPr>
      </w:pPr>
      <w:r w:rsidRPr="00925B56">
        <w:rPr>
          <w:b/>
          <w:bCs/>
        </w:rPr>
        <w:t>6.1 Containment Coordination</w:t>
      </w:r>
    </w:p>
    <w:p w14:paraId="6CC966F3" w14:textId="77777777" w:rsidR="00925B56" w:rsidRPr="00925B56" w:rsidRDefault="00925B56" w:rsidP="00925B56">
      <w:proofErr w:type="spellStart"/>
      <w:r w:rsidRPr="00925B56">
        <w:t>CORe</w:t>
      </w:r>
      <w:proofErr w:type="spellEnd"/>
      <w:r w:rsidRPr="00925B56">
        <w:t xml:space="preserve"> analysts are responsible for determining appropriate containment actions using established </w:t>
      </w:r>
      <w:proofErr w:type="spellStart"/>
      <w:r w:rsidRPr="00925B56">
        <w:t>CORe</w:t>
      </w:r>
      <w:proofErr w:type="spellEnd"/>
      <w:r w:rsidRPr="00925B56">
        <w:t xml:space="preserve"> decision processes. In some cases, CSA personnel may seek to reimage systems before forensic data can be collected. Analysts must assess the situation and provide clear </w:t>
      </w:r>
      <w:proofErr w:type="gramStart"/>
      <w:r w:rsidRPr="00925B56">
        <w:t>direction</w:t>
      </w:r>
      <w:proofErr w:type="gramEnd"/>
      <w:r w:rsidRPr="00925B56">
        <w:t xml:space="preserve"> to ensure investigative integrity.</w:t>
      </w:r>
    </w:p>
    <w:p w14:paraId="057F593D" w14:textId="77777777" w:rsidR="00925B56" w:rsidRPr="00925B56" w:rsidRDefault="00925B56" w:rsidP="00925B56">
      <w:r w:rsidRPr="00925B56">
        <w:t xml:space="preserve">Until containment decisions are finalized, </w:t>
      </w:r>
      <w:proofErr w:type="spellStart"/>
      <w:r w:rsidRPr="00925B56">
        <w:t>CORe</w:t>
      </w:r>
      <w:proofErr w:type="spellEnd"/>
      <w:r w:rsidRPr="00925B56">
        <w:t xml:space="preserve"> analysts shall direct CSA personnel to leave impacted systems intact and perform reimaging only when explicitly authorized.</w:t>
      </w:r>
    </w:p>
    <w:p w14:paraId="018F2E70" w14:textId="77777777" w:rsidR="00925B56" w:rsidRPr="00925B56" w:rsidRDefault="00925B56" w:rsidP="00925B56">
      <w:pPr>
        <w:rPr>
          <w:b/>
          <w:bCs/>
        </w:rPr>
      </w:pPr>
      <w:r w:rsidRPr="00925B56">
        <w:rPr>
          <w:b/>
          <w:bCs/>
        </w:rPr>
        <w:t>6.2 Collection Guidance to CSA Personnel</w:t>
      </w:r>
    </w:p>
    <w:p w14:paraId="6CF537C8" w14:textId="77777777" w:rsidR="00925B56" w:rsidRPr="00925B56" w:rsidRDefault="00925B56" w:rsidP="00925B56">
      <w:r w:rsidRPr="00925B56">
        <w:t>Instructions provided to CSA personnel may include, but are not limited to:</w:t>
      </w:r>
    </w:p>
    <w:p w14:paraId="1669DD3C" w14:textId="77777777" w:rsidR="00925B56" w:rsidRPr="00925B56" w:rsidRDefault="00925B56" w:rsidP="00925B56">
      <w:pPr>
        <w:numPr>
          <w:ilvl w:val="0"/>
          <w:numId w:val="3"/>
        </w:numPr>
      </w:pPr>
      <w:r w:rsidRPr="00925B56">
        <w:t>Restricting access to impacted systems to authorized personnel only</w:t>
      </w:r>
    </w:p>
    <w:p w14:paraId="76590343" w14:textId="77777777" w:rsidR="00925B56" w:rsidRPr="00925B56" w:rsidRDefault="00925B56" w:rsidP="00925B56">
      <w:pPr>
        <w:numPr>
          <w:ilvl w:val="0"/>
          <w:numId w:val="3"/>
        </w:numPr>
      </w:pPr>
      <w:r w:rsidRPr="00925B56">
        <w:t>Documenting all users with access to affected systems</w:t>
      </w:r>
    </w:p>
    <w:p w14:paraId="4FDF1195" w14:textId="77777777" w:rsidR="00925B56" w:rsidRPr="00925B56" w:rsidRDefault="00925B56" w:rsidP="00925B56">
      <w:pPr>
        <w:numPr>
          <w:ilvl w:val="0"/>
          <w:numId w:val="3"/>
        </w:numPr>
      </w:pPr>
      <w:r w:rsidRPr="00925B56">
        <w:t>Disconnecting network cables when instructed</w:t>
      </w:r>
    </w:p>
    <w:p w14:paraId="3BB25EDD" w14:textId="77777777" w:rsidR="00925B56" w:rsidRPr="00925B56" w:rsidRDefault="00925B56" w:rsidP="00925B56">
      <w:pPr>
        <w:numPr>
          <w:ilvl w:val="0"/>
          <w:numId w:val="3"/>
        </w:numPr>
      </w:pPr>
      <w:r w:rsidRPr="00925B56">
        <w:t>Disabling wireless adapters or powering down wireless access points as directed</w:t>
      </w:r>
    </w:p>
    <w:p w14:paraId="44EE270A" w14:textId="77777777" w:rsidR="00925B56" w:rsidRPr="00925B56" w:rsidRDefault="00925B56" w:rsidP="00925B56">
      <w:pPr>
        <w:rPr>
          <w:b/>
          <w:bCs/>
        </w:rPr>
      </w:pPr>
      <w:r w:rsidRPr="00925B56">
        <w:rPr>
          <w:b/>
          <w:bCs/>
        </w:rPr>
        <w:t>6.3 Initial Incident Information</w:t>
      </w:r>
    </w:p>
    <w:p w14:paraId="7F5C93E7" w14:textId="77777777" w:rsidR="00925B56" w:rsidRPr="00925B56" w:rsidRDefault="00925B56" w:rsidP="00925B56">
      <w:r w:rsidRPr="00925B56">
        <w:t>To support effective investigation, analysts should gather the following information when incidents are reported:</w:t>
      </w:r>
    </w:p>
    <w:p w14:paraId="1DA30CFD" w14:textId="77777777" w:rsidR="00925B56" w:rsidRPr="00925B56" w:rsidRDefault="00925B56" w:rsidP="00925B56">
      <w:r w:rsidRPr="00925B56">
        <w:rPr>
          <w:b/>
          <w:bCs/>
        </w:rPr>
        <w:t>Victim Information</w:t>
      </w:r>
    </w:p>
    <w:p w14:paraId="13361A5B" w14:textId="77777777" w:rsidR="00925B56" w:rsidRPr="00925B56" w:rsidRDefault="00925B56" w:rsidP="00925B56">
      <w:pPr>
        <w:numPr>
          <w:ilvl w:val="0"/>
          <w:numId w:val="4"/>
        </w:numPr>
      </w:pPr>
      <w:proofErr w:type="gramStart"/>
      <w:r w:rsidRPr="00925B56">
        <w:t>User name</w:t>
      </w:r>
      <w:proofErr w:type="gramEnd"/>
      <w:r w:rsidRPr="00925B56">
        <w:t>, location, contact information, supervisor</w:t>
      </w:r>
    </w:p>
    <w:p w14:paraId="1D9DE3BC" w14:textId="77777777" w:rsidR="00925B56" w:rsidRPr="00925B56" w:rsidRDefault="00925B56" w:rsidP="00925B56">
      <w:pPr>
        <w:numPr>
          <w:ilvl w:val="0"/>
          <w:numId w:val="4"/>
        </w:numPr>
      </w:pPr>
      <w:r w:rsidRPr="00925B56">
        <w:t>Description of observed activity or incident</w:t>
      </w:r>
    </w:p>
    <w:p w14:paraId="4D36727F" w14:textId="77777777" w:rsidR="00925B56" w:rsidRPr="00925B56" w:rsidRDefault="00925B56" w:rsidP="00925B56">
      <w:r w:rsidRPr="00925B56">
        <w:rPr>
          <w:b/>
          <w:bCs/>
        </w:rPr>
        <w:t>System and Network Information</w:t>
      </w:r>
    </w:p>
    <w:p w14:paraId="3CD34BC0" w14:textId="77777777" w:rsidR="00925B56" w:rsidRPr="00925B56" w:rsidRDefault="00925B56" w:rsidP="00925B56">
      <w:pPr>
        <w:numPr>
          <w:ilvl w:val="0"/>
          <w:numId w:val="5"/>
        </w:numPr>
      </w:pPr>
      <w:r w:rsidRPr="00925B56">
        <w:t>Hostname, IP addresses, MAC addresses</w:t>
      </w:r>
    </w:p>
    <w:p w14:paraId="110DE7E2" w14:textId="77777777" w:rsidR="00925B56" w:rsidRPr="00925B56" w:rsidRDefault="00925B56" w:rsidP="00925B56">
      <w:pPr>
        <w:numPr>
          <w:ilvl w:val="0"/>
          <w:numId w:val="5"/>
        </w:numPr>
      </w:pPr>
      <w:r w:rsidRPr="00925B56">
        <w:t>Wired and wireless network details</w:t>
      </w:r>
    </w:p>
    <w:p w14:paraId="5D85887D" w14:textId="77777777" w:rsidR="00925B56" w:rsidRPr="00925B56" w:rsidRDefault="00925B56" w:rsidP="00925B56">
      <w:pPr>
        <w:numPr>
          <w:ilvl w:val="0"/>
          <w:numId w:val="5"/>
        </w:numPr>
      </w:pPr>
      <w:r w:rsidRPr="00925B56">
        <w:t>Subnet, gateway, switch, and port information</w:t>
      </w:r>
    </w:p>
    <w:p w14:paraId="66D216DF" w14:textId="77777777" w:rsidR="00925B56" w:rsidRPr="00925B56" w:rsidRDefault="00925B56" w:rsidP="00925B56">
      <w:r w:rsidRPr="00925B56">
        <w:rPr>
          <w:b/>
          <w:bCs/>
        </w:rPr>
        <w:t>Timeline</w:t>
      </w:r>
    </w:p>
    <w:p w14:paraId="24C465B2" w14:textId="77777777" w:rsidR="00925B56" w:rsidRPr="00925B56" w:rsidRDefault="00925B56" w:rsidP="00925B56">
      <w:pPr>
        <w:numPr>
          <w:ilvl w:val="0"/>
          <w:numId w:val="6"/>
        </w:numPr>
      </w:pPr>
      <w:r w:rsidRPr="00925B56">
        <w:t>Events preceding, during, and following the incident</w:t>
      </w:r>
    </w:p>
    <w:p w14:paraId="1D7E1ABC" w14:textId="77777777" w:rsidR="00925B56" w:rsidRPr="00925B56" w:rsidRDefault="00925B56" w:rsidP="00925B56">
      <w:r w:rsidRPr="00925B56">
        <w:rPr>
          <w:b/>
          <w:bCs/>
        </w:rPr>
        <w:lastRenderedPageBreak/>
        <w:t>Evidence of Malicious Activity</w:t>
      </w:r>
    </w:p>
    <w:p w14:paraId="09D45333" w14:textId="77777777" w:rsidR="00925B56" w:rsidRPr="00925B56" w:rsidRDefault="00925B56" w:rsidP="00925B56">
      <w:pPr>
        <w:numPr>
          <w:ilvl w:val="0"/>
          <w:numId w:val="7"/>
        </w:numPr>
      </w:pPr>
      <w:r w:rsidRPr="00925B56">
        <w:t>Logs, files, processes, configurations, or protocol misuse</w:t>
      </w:r>
    </w:p>
    <w:p w14:paraId="31888825" w14:textId="77777777" w:rsidR="00925B56" w:rsidRPr="00925B56" w:rsidRDefault="00925B56" w:rsidP="00925B56">
      <w:pPr>
        <w:rPr>
          <w:b/>
          <w:bCs/>
        </w:rPr>
      </w:pPr>
      <w:r w:rsidRPr="00925B56">
        <w:rPr>
          <w:b/>
          <w:bCs/>
        </w:rPr>
        <w:t>6.4 Indicators of Compromise (IoC) Collection</w:t>
      </w:r>
    </w:p>
    <w:p w14:paraId="5DDBCB42" w14:textId="77777777" w:rsidR="00925B56" w:rsidRDefault="00925B56" w:rsidP="00925B56">
      <w:r w:rsidRPr="00925B56">
        <w:t>Table 1 identifies indicators that may signal malicious activity, including APT presence. Measurements that significantly exceed established baselines warrant further examination.</w:t>
      </w:r>
    </w:p>
    <w:p w14:paraId="3D3EF577" w14:textId="1DEAD617" w:rsidR="00925B56" w:rsidRPr="00925B56" w:rsidRDefault="00925B56" w:rsidP="00925B56">
      <w:pPr>
        <w:pStyle w:val="Caption"/>
        <w:keepNext/>
        <w:jc w:val="center"/>
      </w:pPr>
      <w:r>
        <w:t xml:space="preserve">Table </w:t>
      </w:r>
      <w:r>
        <w:fldChar w:fldCharType="begin"/>
      </w:r>
      <w:r>
        <w:instrText xml:space="preserve"> SEQ Table \* ARABIC </w:instrText>
      </w:r>
      <w:r>
        <w:fldChar w:fldCharType="separate"/>
      </w:r>
      <w:r>
        <w:rPr>
          <w:noProof/>
        </w:rPr>
        <w:t>1</w:t>
      </w:r>
      <w:r>
        <w:rPr>
          <w:noProof/>
        </w:rPr>
        <w:fldChar w:fldCharType="end"/>
      </w:r>
      <w:r>
        <w:t>: Indicators of Compromise (IoC) Analysis</w:t>
      </w:r>
    </w:p>
    <w:tbl>
      <w:tblPr>
        <w:tblStyle w:val="TableGrid"/>
        <w:tblW w:w="0" w:type="auto"/>
        <w:tblInd w:w="360" w:type="dxa"/>
        <w:tblLook w:val="04A0" w:firstRow="1" w:lastRow="0" w:firstColumn="1" w:lastColumn="0" w:noHBand="0" w:noVBand="1"/>
      </w:tblPr>
      <w:tblGrid>
        <w:gridCol w:w="2988"/>
        <w:gridCol w:w="1980"/>
        <w:gridCol w:w="1710"/>
        <w:gridCol w:w="2160"/>
      </w:tblGrid>
      <w:tr w:rsidR="00925B56" w:rsidRPr="0088341C" w14:paraId="6822FEA0" w14:textId="77777777" w:rsidTr="00CE35EE">
        <w:trPr>
          <w:tblHeader/>
        </w:trPr>
        <w:tc>
          <w:tcPr>
            <w:tcW w:w="2988" w:type="dxa"/>
          </w:tcPr>
          <w:p w14:paraId="0F6D2FEC" w14:textId="77777777" w:rsidR="00925B56" w:rsidRPr="0088341C" w:rsidRDefault="00925B56" w:rsidP="00CE35EE">
            <w:pPr>
              <w:widowControl/>
              <w:spacing w:line="276" w:lineRule="auto"/>
              <w:rPr>
                <w:b/>
              </w:rPr>
            </w:pPr>
            <w:r w:rsidRPr="0088341C">
              <w:rPr>
                <w:b/>
              </w:rPr>
              <w:t>IoC</w:t>
            </w:r>
          </w:p>
        </w:tc>
        <w:tc>
          <w:tcPr>
            <w:tcW w:w="1980" w:type="dxa"/>
          </w:tcPr>
          <w:p w14:paraId="6AD42375" w14:textId="77777777" w:rsidR="00925B56" w:rsidRPr="0088341C" w:rsidRDefault="00925B56" w:rsidP="00CE35EE">
            <w:pPr>
              <w:widowControl/>
              <w:spacing w:line="276" w:lineRule="auto"/>
              <w:rPr>
                <w:b/>
              </w:rPr>
            </w:pPr>
            <w:r w:rsidRPr="0088341C">
              <w:rPr>
                <w:b/>
              </w:rPr>
              <w:t>Tool</w:t>
            </w:r>
          </w:p>
        </w:tc>
        <w:tc>
          <w:tcPr>
            <w:tcW w:w="1710" w:type="dxa"/>
          </w:tcPr>
          <w:p w14:paraId="67613E95" w14:textId="77777777" w:rsidR="00925B56" w:rsidRPr="0088341C" w:rsidRDefault="00925B56" w:rsidP="00CE35EE">
            <w:pPr>
              <w:widowControl/>
              <w:spacing w:line="276" w:lineRule="auto"/>
              <w:rPr>
                <w:b/>
              </w:rPr>
            </w:pPr>
            <w:r w:rsidRPr="0088341C">
              <w:rPr>
                <w:b/>
              </w:rPr>
              <w:t>Baseline</w:t>
            </w:r>
            <w:r w:rsidRPr="0088341C">
              <w:rPr>
                <w:b/>
                <w:vertAlign w:val="superscript"/>
              </w:rPr>
              <w:t>1</w:t>
            </w:r>
          </w:p>
        </w:tc>
        <w:tc>
          <w:tcPr>
            <w:tcW w:w="2160" w:type="dxa"/>
          </w:tcPr>
          <w:p w14:paraId="18AAB65E" w14:textId="77777777" w:rsidR="00925B56" w:rsidRPr="0088341C" w:rsidRDefault="00925B56" w:rsidP="00CE35EE">
            <w:pPr>
              <w:widowControl/>
              <w:spacing w:line="276" w:lineRule="auto"/>
              <w:rPr>
                <w:b/>
              </w:rPr>
            </w:pPr>
            <w:r w:rsidRPr="0088341C">
              <w:rPr>
                <w:b/>
              </w:rPr>
              <w:t>Measurement</w:t>
            </w:r>
            <w:r w:rsidRPr="0088341C">
              <w:rPr>
                <w:b/>
                <w:vertAlign w:val="superscript"/>
              </w:rPr>
              <w:t>2</w:t>
            </w:r>
          </w:p>
        </w:tc>
      </w:tr>
      <w:tr w:rsidR="00925B56" w:rsidRPr="0088341C" w14:paraId="49282068" w14:textId="77777777" w:rsidTr="00CE35EE">
        <w:tc>
          <w:tcPr>
            <w:tcW w:w="2988" w:type="dxa"/>
          </w:tcPr>
          <w:p w14:paraId="218F2F19" w14:textId="77777777" w:rsidR="00925B56" w:rsidRPr="0088341C" w:rsidRDefault="00925B56" w:rsidP="00CE35EE">
            <w:pPr>
              <w:widowControl/>
              <w:spacing w:line="276" w:lineRule="auto"/>
            </w:pPr>
            <w:r w:rsidRPr="0088341C">
              <w:t>Unusual outbound traffic</w:t>
            </w:r>
          </w:p>
        </w:tc>
        <w:tc>
          <w:tcPr>
            <w:tcW w:w="1980" w:type="dxa"/>
          </w:tcPr>
          <w:p w14:paraId="0D0E85F0" w14:textId="77777777" w:rsidR="00925B56" w:rsidRPr="0088341C" w:rsidRDefault="00925B56" w:rsidP="00CE35EE">
            <w:pPr>
              <w:widowControl/>
              <w:spacing w:line="276" w:lineRule="auto"/>
            </w:pPr>
            <w:r>
              <w:t>Splunk</w:t>
            </w:r>
          </w:p>
        </w:tc>
        <w:tc>
          <w:tcPr>
            <w:tcW w:w="1710" w:type="dxa"/>
          </w:tcPr>
          <w:p w14:paraId="0134EFFB" w14:textId="77777777" w:rsidR="00925B56" w:rsidRPr="0088341C" w:rsidRDefault="00925B56" w:rsidP="00CE35EE">
            <w:pPr>
              <w:widowControl/>
              <w:spacing w:line="276" w:lineRule="auto"/>
            </w:pPr>
            <w:r>
              <w:t>TBD</w:t>
            </w:r>
          </w:p>
        </w:tc>
        <w:tc>
          <w:tcPr>
            <w:tcW w:w="2160" w:type="dxa"/>
          </w:tcPr>
          <w:p w14:paraId="66E70E9A" w14:textId="77777777" w:rsidR="00925B56" w:rsidRPr="0088341C" w:rsidRDefault="00925B56" w:rsidP="00CE35EE">
            <w:pPr>
              <w:widowControl/>
              <w:spacing w:line="276" w:lineRule="auto"/>
            </w:pPr>
            <w:r>
              <w:t>TBD</w:t>
            </w:r>
          </w:p>
        </w:tc>
      </w:tr>
      <w:tr w:rsidR="00925B56" w:rsidRPr="0088341C" w14:paraId="14859FCE" w14:textId="77777777" w:rsidTr="00CE35EE">
        <w:tc>
          <w:tcPr>
            <w:tcW w:w="2988" w:type="dxa"/>
          </w:tcPr>
          <w:p w14:paraId="237021C1" w14:textId="77777777" w:rsidR="00925B56" w:rsidRPr="0088341C" w:rsidRDefault="00925B56" w:rsidP="00CE35EE">
            <w:pPr>
              <w:widowControl/>
              <w:spacing w:line="276" w:lineRule="auto"/>
            </w:pPr>
            <w:r w:rsidRPr="0088341C">
              <w:t>Privileged user account activity anomalies</w:t>
            </w:r>
          </w:p>
        </w:tc>
        <w:tc>
          <w:tcPr>
            <w:tcW w:w="1980" w:type="dxa"/>
          </w:tcPr>
          <w:p w14:paraId="1FCBB924" w14:textId="77777777" w:rsidR="00925B56" w:rsidRPr="0088341C" w:rsidRDefault="00925B56" w:rsidP="00CE35EE">
            <w:pPr>
              <w:widowControl/>
              <w:spacing w:line="276" w:lineRule="auto"/>
            </w:pPr>
            <w:r w:rsidRPr="008E6388">
              <w:t>Splunk</w:t>
            </w:r>
          </w:p>
        </w:tc>
        <w:tc>
          <w:tcPr>
            <w:tcW w:w="1710" w:type="dxa"/>
          </w:tcPr>
          <w:p w14:paraId="658A4D41" w14:textId="77777777" w:rsidR="00925B56" w:rsidRPr="0088341C" w:rsidRDefault="00925B56" w:rsidP="00CE35EE">
            <w:pPr>
              <w:widowControl/>
              <w:spacing w:line="276" w:lineRule="auto"/>
            </w:pPr>
            <w:r>
              <w:t>TBD</w:t>
            </w:r>
          </w:p>
        </w:tc>
        <w:tc>
          <w:tcPr>
            <w:tcW w:w="2160" w:type="dxa"/>
          </w:tcPr>
          <w:p w14:paraId="05C292C7" w14:textId="77777777" w:rsidR="00925B56" w:rsidRPr="0088341C" w:rsidRDefault="00925B56" w:rsidP="00CE35EE">
            <w:pPr>
              <w:widowControl/>
              <w:spacing w:line="276" w:lineRule="auto"/>
            </w:pPr>
            <w:r>
              <w:t>TBD</w:t>
            </w:r>
          </w:p>
        </w:tc>
      </w:tr>
      <w:tr w:rsidR="00925B56" w:rsidRPr="0088341C" w14:paraId="34F8A85D" w14:textId="77777777" w:rsidTr="00CE35EE">
        <w:tc>
          <w:tcPr>
            <w:tcW w:w="2988" w:type="dxa"/>
          </w:tcPr>
          <w:p w14:paraId="65506E90" w14:textId="77777777" w:rsidR="00925B56" w:rsidRPr="0088341C" w:rsidRDefault="00925B56" w:rsidP="00CE35EE">
            <w:pPr>
              <w:widowControl/>
              <w:spacing w:line="276" w:lineRule="auto"/>
            </w:pPr>
            <w:r w:rsidRPr="0088341C">
              <w:t>Geolocation anomalies</w:t>
            </w:r>
          </w:p>
        </w:tc>
        <w:tc>
          <w:tcPr>
            <w:tcW w:w="1980" w:type="dxa"/>
          </w:tcPr>
          <w:p w14:paraId="59AE6426" w14:textId="77777777" w:rsidR="00925B56" w:rsidRPr="0088341C" w:rsidRDefault="00925B56" w:rsidP="00CE35EE">
            <w:pPr>
              <w:widowControl/>
              <w:spacing w:line="276" w:lineRule="auto"/>
            </w:pPr>
            <w:r w:rsidRPr="008E6388">
              <w:t>Splunk</w:t>
            </w:r>
          </w:p>
        </w:tc>
        <w:tc>
          <w:tcPr>
            <w:tcW w:w="1710" w:type="dxa"/>
          </w:tcPr>
          <w:p w14:paraId="1244FDD8" w14:textId="77777777" w:rsidR="00925B56" w:rsidRPr="0088341C" w:rsidRDefault="00925B56" w:rsidP="00CE35EE">
            <w:pPr>
              <w:widowControl/>
              <w:spacing w:line="276" w:lineRule="auto"/>
            </w:pPr>
            <w:r>
              <w:t>TBD</w:t>
            </w:r>
          </w:p>
        </w:tc>
        <w:tc>
          <w:tcPr>
            <w:tcW w:w="2160" w:type="dxa"/>
          </w:tcPr>
          <w:p w14:paraId="7BCAFA7E" w14:textId="77777777" w:rsidR="00925B56" w:rsidRPr="0088341C" w:rsidRDefault="00925B56" w:rsidP="00CE35EE">
            <w:pPr>
              <w:widowControl/>
              <w:spacing w:line="276" w:lineRule="auto"/>
            </w:pPr>
            <w:r>
              <w:t>TBD</w:t>
            </w:r>
          </w:p>
        </w:tc>
      </w:tr>
      <w:tr w:rsidR="00925B56" w:rsidRPr="0088341C" w14:paraId="03CA88D4" w14:textId="77777777" w:rsidTr="00CE35EE">
        <w:tc>
          <w:tcPr>
            <w:tcW w:w="2988" w:type="dxa"/>
          </w:tcPr>
          <w:p w14:paraId="425FC38A" w14:textId="77777777" w:rsidR="00925B56" w:rsidRPr="0088341C" w:rsidRDefault="00925B56" w:rsidP="00CE35EE">
            <w:pPr>
              <w:widowControl/>
              <w:spacing w:line="276" w:lineRule="auto"/>
            </w:pPr>
            <w:r w:rsidRPr="0088341C">
              <w:t>Login-related issues</w:t>
            </w:r>
          </w:p>
        </w:tc>
        <w:tc>
          <w:tcPr>
            <w:tcW w:w="1980" w:type="dxa"/>
          </w:tcPr>
          <w:p w14:paraId="6EDD511C" w14:textId="77777777" w:rsidR="00925B56" w:rsidRPr="0088341C" w:rsidRDefault="00925B56" w:rsidP="00CE35EE">
            <w:pPr>
              <w:widowControl/>
              <w:spacing w:line="276" w:lineRule="auto"/>
            </w:pPr>
            <w:r w:rsidRPr="008E6388">
              <w:t>Splunk</w:t>
            </w:r>
          </w:p>
        </w:tc>
        <w:tc>
          <w:tcPr>
            <w:tcW w:w="1710" w:type="dxa"/>
          </w:tcPr>
          <w:p w14:paraId="3B7D800E" w14:textId="77777777" w:rsidR="00925B56" w:rsidRPr="0088341C" w:rsidRDefault="00925B56" w:rsidP="00CE35EE">
            <w:pPr>
              <w:widowControl/>
              <w:spacing w:line="276" w:lineRule="auto"/>
            </w:pPr>
            <w:r>
              <w:t>TBD</w:t>
            </w:r>
          </w:p>
        </w:tc>
        <w:tc>
          <w:tcPr>
            <w:tcW w:w="2160" w:type="dxa"/>
          </w:tcPr>
          <w:p w14:paraId="58A66DAE" w14:textId="77777777" w:rsidR="00925B56" w:rsidRPr="0088341C" w:rsidRDefault="00925B56" w:rsidP="00CE35EE">
            <w:pPr>
              <w:widowControl/>
              <w:spacing w:line="276" w:lineRule="auto"/>
            </w:pPr>
            <w:r>
              <w:t>TBD</w:t>
            </w:r>
          </w:p>
        </w:tc>
      </w:tr>
      <w:tr w:rsidR="00925B56" w:rsidRPr="0088341C" w14:paraId="7AE94693" w14:textId="77777777" w:rsidTr="00CE35EE">
        <w:tc>
          <w:tcPr>
            <w:tcW w:w="2988" w:type="dxa"/>
          </w:tcPr>
          <w:p w14:paraId="0BEFCD9D" w14:textId="77777777" w:rsidR="00925B56" w:rsidRPr="0088341C" w:rsidRDefault="00925B56" w:rsidP="00CE35EE">
            <w:pPr>
              <w:widowControl/>
              <w:spacing w:line="276" w:lineRule="auto"/>
            </w:pPr>
            <w:r w:rsidRPr="0088341C">
              <w:t>Increased in database read activity</w:t>
            </w:r>
          </w:p>
        </w:tc>
        <w:tc>
          <w:tcPr>
            <w:tcW w:w="1980" w:type="dxa"/>
          </w:tcPr>
          <w:p w14:paraId="09AFB40A" w14:textId="77777777" w:rsidR="00925B56" w:rsidRPr="0088341C" w:rsidRDefault="00925B56" w:rsidP="00CE35EE">
            <w:pPr>
              <w:widowControl/>
              <w:spacing w:line="276" w:lineRule="auto"/>
            </w:pPr>
            <w:r w:rsidRPr="008E6388">
              <w:t>Splunk</w:t>
            </w:r>
          </w:p>
        </w:tc>
        <w:tc>
          <w:tcPr>
            <w:tcW w:w="1710" w:type="dxa"/>
          </w:tcPr>
          <w:p w14:paraId="349A995C" w14:textId="77777777" w:rsidR="00925B56" w:rsidRPr="0088341C" w:rsidRDefault="00925B56" w:rsidP="00CE35EE">
            <w:pPr>
              <w:widowControl/>
              <w:spacing w:line="276" w:lineRule="auto"/>
            </w:pPr>
            <w:r>
              <w:t>TBD</w:t>
            </w:r>
          </w:p>
        </w:tc>
        <w:tc>
          <w:tcPr>
            <w:tcW w:w="2160" w:type="dxa"/>
          </w:tcPr>
          <w:p w14:paraId="29FA1AF7" w14:textId="77777777" w:rsidR="00925B56" w:rsidRPr="0088341C" w:rsidRDefault="00925B56" w:rsidP="00CE35EE">
            <w:pPr>
              <w:widowControl/>
              <w:spacing w:line="276" w:lineRule="auto"/>
            </w:pPr>
            <w:r>
              <w:t>TBD</w:t>
            </w:r>
          </w:p>
        </w:tc>
      </w:tr>
      <w:tr w:rsidR="00925B56" w:rsidRPr="0088341C" w14:paraId="3BAF1ACD" w14:textId="77777777" w:rsidTr="00CE35EE">
        <w:tc>
          <w:tcPr>
            <w:tcW w:w="2988" w:type="dxa"/>
          </w:tcPr>
          <w:p w14:paraId="6245753A" w14:textId="77777777" w:rsidR="00925B56" w:rsidRPr="0088341C" w:rsidRDefault="00925B56" w:rsidP="00CE35EE">
            <w:pPr>
              <w:widowControl/>
              <w:spacing w:line="276" w:lineRule="auto"/>
            </w:pPr>
            <w:r w:rsidRPr="0088341C">
              <w:t>Unusual HTML response size</w:t>
            </w:r>
          </w:p>
        </w:tc>
        <w:tc>
          <w:tcPr>
            <w:tcW w:w="1980" w:type="dxa"/>
          </w:tcPr>
          <w:p w14:paraId="1DAF2DC8" w14:textId="77777777" w:rsidR="00925B56" w:rsidRPr="0088341C" w:rsidRDefault="00925B56" w:rsidP="00CE35EE">
            <w:pPr>
              <w:widowControl/>
              <w:spacing w:line="276" w:lineRule="auto"/>
            </w:pPr>
            <w:r w:rsidRPr="008E6388">
              <w:t>Splunk</w:t>
            </w:r>
          </w:p>
        </w:tc>
        <w:tc>
          <w:tcPr>
            <w:tcW w:w="1710" w:type="dxa"/>
          </w:tcPr>
          <w:p w14:paraId="647C00DC" w14:textId="77777777" w:rsidR="00925B56" w:rsidRPr="0088341C" w:rsidRDefault="00925B56" w:rsidP="00CE35EE">
            <w:pPr>
              <w:widowControl/>
              <w:spacing w:line="276" w:lineRule="auto"/>
            </w:pPr>
            <w:r>
              <w:t>TBD</w:t>
            </w:r>
          </w:p>
        </w:tc>
        <w:tc>
          <w:tcPr>
            <w:tcW w:w="2160" w:type="dxa"/>
          </w:tcPr>
          <w:p w14:paraId="0439E266" w14:textId="77777777" w:rsidR="00925B56" w:rsidRPr="0088341C" w:rsidRDefault="00925B56" w:rsidP="00CE35EE">
            <w:pPr>
              <w:widowControl/>
              <w:spacing w:line="276" w:lineRule="auto"/>
            </w:pPr>
            <w:r>
              <w:t>TBD</w:t>
            </w:r>
          </w:p>
        </w:tc>
      </w:tr>
      <w:tr w:rsidR="00925B56" w:rsidRPr="0088341C" w14:paraId="2A377686" w14:textId="77777777" w:rsidTr="00CE35EE">
        <w:tc>
          <w:tcPr>
            <w:tcW w:w="2988" w:type="dxa"/>
          </w:tcPr>
          <w:p w14:paraId="47A409B5" w14:textId="77777777" w:rsidR="00925B56" w:rsidRPr="0088341C" w:rsidRDefault="00925B56" w:rsidP="00CE35EE">
            <w:pPr>
              <w:widowControl/>
              <w:spacing w:line="276" w:lineRule="auto"/>
            </w:pPr>
            <w:r w:rsidRPr="0088341C">
              <w:t>Numerous requests for the same file</w:t>
            </w:r>
          </w:p>
        </w:tc>
        <w:tc>
          <w:tcPr>
            <w:tcW w:w="1980" w:type="dxa"/>
          </w:tcPr>
          <w:p w14:paraId="7B15396B" w14:textId="77777777" w:rsidR="00925B56" w:rsidRPr="0088341C" w:rsidRDefault="00925B56" w:rsidP="00CE35EE">
            <w:pPr>
              <w:widowControl/>
              <w:spacing w:line="276" w:lineRule="auto"/>
            </w:pPr>
            <w:r w:rsidRPr="008E6388">
              <w:t>Splunk</w:t>
            </w:r>
          </w:p>
        </w:tc>
        <w:tc>
          <w:tcPr>
            <w:tcW w:w="1710" w:type="dxa"/>
          </w:tcPr>
          <w:p w14:paraId="7848C7D0" w14:textId="77777777" w:rsidR="00925B56" w:rsidRPr="0088341C" w:rsidRDefault="00925B56" w:rsidP="00CE35EE">
            <w:pPr>
              <w:widowControl/>
              <w:spacing w:line="276" w:lineRule="auto"/>
            </w:pPr>
            <w:r>
              <w:t>TBD</w:t>
            </w:r>
          </w:p>
        </w:tc>
        <w:tc>
          <w:tcPr>
            <w:tcW w:w="2160" w:type="dxa"/>
          </w:tcPr>
          <w:p w14:paraId="1B265FD7" w14:textId="77777777" w:rsidR="00925B56" w:rsidRPr="0088341C" w:rsidRDefault="00925B56" w:rsidP="00CE35EE">
            <w:pPr>
              <w:widowControl/>
              <w:spacing w:line="276" w:lineRule="auto"/>
            </w:pPr>
            <w:r>
              <w:t>TBD</w:t>
            </w:r>
          </w:p>
        </w:tc>
      </w:tr>
      <w:tr w:rsidR="00925B56" w:rsidRPr="0088341C" w14:paraId="208634D9" w14:textId="77777777" w:rsidTr="00CE35EE">
        <w:tc>
          <w:tcPr>
            <w:tcW w:w="2988" w:type="dxa"/>
          </w:tcPr>
          <w:p w14:paraId="2CCACE18" w14:textId="77777777" w:rsidR="00925B56" w:rsidRPr="0088341C" w:rsidRDefault="00925B56" w:rsidP="00CE35EE">
            <w:pPr>
              <w:widowControl/>
              <w:spacing w:line="276" w:lineRule="auto"/>
            </w:pPr>
            <w:r w:rsidRPr="0088341C">
              <w:t>Application port mismatch</w:t>
            </w:r>
          </w:p>
        </w:tc>
        <w:tc>
          <w:tcPr>
            <w:tcW w:w="1980" w:type="dxa"/>
          </w:tcPr>
          <w:p w14:paraId="7B513945" w14:textId="77777777" w:rsidR="00925B56" w:rsidRPr="0088341C" w:rsidRDefault="00925B56" w:rsidP="00CE35EE">
            <w:pPr>
              <w:widowControl/>
              <w:spacing w:line="276" w:lineRule="auto"/>
            </w:pPr>
            <w:r w:rsidRPr="008E6388">
              <w:t>Splunk</w:t>
            </w:r>
          </w:p>
        </w:tc>
        <w:tc>
          <w:tcPr>
            <w:tcW w:w="1710" w:type="dxa"/>
          </w:tcPr>
          <w:p w14:paraId="760F0200" w14:textId="77777777" w:rsidR="00925B56" w:rsidRPr="0088341C" w:rsidRDefault="00925B56" w:rsidP="00CE35EE">
            <w:pPr>
              <w:widowControl/>
              <w:spacing w:line="276" w:lineRule="auto"/>
            </w:pPr>
            <w:r>
              <w:t>TBD</w:t>
            </w:r>
          </w:p>
        </w:tc>
        <w:tc>
          <w:tcPr>
            <w:tcW w:w="2160" w:type="dxa"/>
          </w:tcPr>
          <w:p w14:paraId="38CCB69B" w14:textId="77777777" w:rsidR="00925B56" w:rsidRPr="0088341C" w:rsidRDefault="00925B56" w:rsidP="00CE35EE">
            <w:pPr>
              <w:widowControl/>
              <w:spacing w:line="276" w:lineRule="auto"/>
            </w:pPr>
            <w:r>
              <w:t>TBD</w:t>
            </w:r>
          </w:p>
        </w:tc>
      </w:tr>
      <w:tr w:rsidR="00925B56" w:rsidRPr="0088341C" w14:paraId="70A1B2D0" w14:textId="77777777" w:rsidTr="00CE35EE">
        <w:tc>
          <w:tcPr>
            <w:tcW w:w="2988" w:type="dxa"/>
          </w:tcPr>
          <w:p w14:paraId="57A628D2" w14:textId="77777777" w:rsidR="00925B56" w:rsidRPr="0088341C" w:rsidRDefault="00925B56" w:rsidP="00CE35EE">
            <w:pPr>
              <w:widowControl/>
              <w:spacing w:line="276" w:lineRule="auto"/>
            </w:pPr>
            <w:r w:rsidRPr="0088341C">
              <w:t>System file and registry changes</w:t>
            </w:r>
          </w:p>
        </w:tc>
        <w:tc>
          <w:tcPr>
            <w:tcW w:w="1980" w:type="dxa"/>
          </w:tcPr>
          <w:p w14:paraId="1C78DEC7" w14:textId="77777777" w:rsidR="00925B56" w:rsidRPr="0088341C" w:rsidRDefault="00925B56" w:rsidP="00CE35EE">
            <w:pPr>
              <w:widowControl/>
              <w:spacing w:line="276" w:lineRule="auto"/>
            </w:pPr>
            <w:r w:rsidRPr="008E6388">
              <w:t>Splunk</w:t>
            </w:r>
          </w:p>
        </w:tc>
        <w:tc>
          <w:tcPr>
            <w:tcW w:w="1710" w:type="dxa"/>
          </w:tcPr>
          <w:p w14:paraId="64072DA4" w14:textId="77777777" w:rsidR="00925B56" w:rsidRPr="0088341C" w:rsidRDefault="00925B56" w:rsidP="00CE35EE">
            <w:pPr>
              <w:widowControl/>
              <w:spacing w:line="276" w:lineRule="auto"/>
            </w:pPr>
            <w:r>
              <w:t>TBD</w:t>
            </w:r>
          </w:p>
        </w:tc>
        <w:tc>
          <w:tcPr>
            <w:tcW w:w="2160" w:type="dxa"/>
          </w:tcPr>
          <w:p w14:paraId="026ED302" w14:textId="77777777" w:rsidR="00925B56" w:rsidRPr="0088341C" w:rsidRDefault="00925B56" w:rsidP="00CE35EE">
            <w:pPr>
              <w:widowControl/>
              <w:spacing w:line="276" w:lineRule="auto"/>
            </w:pPr>
            <w:r>
              <w:t>TBD</w:t>
            </w:r>
          </w:p>
        </w:tc>
      </w:tr>
      <w:tr w:rsidR="00925B56" w:rsidRPr="0088341C" w14:paraId="7D94A0E4" w14:textId="77777777" w:rsidTr="00CE35EE">
        <w:tc>
          <w:tcPr>
            <w:tcW w:w="2988" w:type="dxa"/>
          </w:tcPr>
          <w:p w14:paraId="0655D386" w14:textId="77777777" w:rsidR="00925B56" w:rsidRPr="0088341C" w:rsidRDefault="00925B56" w:rsidP="00CE35EE">
            <w:pPr>
              <w:widowControl/>
              <w:spacing w:line="276" w:lineRule="auto"/>
            </w:pPr>
            <w:r w:rsidRPr="0088341C">
              <w:t>Strange DNS requests</w:t>
            </w:r>
          </w:p>
        </w:tc>
        <w:tc>
          <w:tcPr>
            <w:tcW w:w="1980" w:type="dxa"/>
          </w:tcPr>
          <w:p w14:paraId="25A06CC2" w14:textId="77777777" w:rsidR="00925B56" w:rsidRPr="0088341C" w:rsidRDefault="00925B56" w:rsidP="00CE35EE">
            <w:pPr>
              <w:widowControl/>
              <w:spacing w:line="276" w:lineRule="auto"/>
            </w:pPr>
            <w:r w:rsidRPr="008E6388">
              <w:t>Splunk</w:t>
            </w:r>
          </w:p>
        </w:tc>
        <w:tc>
          <w:tcPr>
            <w:tcW w:w="1710" w:type="dxa"/>
          </w:tcPr>
          <w:p w14:paraId="16792758" w14:textId="77777777" w:rsidR="00925B56" w:rsidRPr="0088341C" w:rsidRDefault="00925B56" w:rsidP="00CE35EE">
            <w:pPr>
              <w:widowControl/>
              <w:spacing w:line="276" w:lineRule="auto"/>
            </w:pPr>
            <w:r>
              <w:t>TBD</w:t>
            </w:r>
          </w:p>
        </w:tc>
        <w:tc>
          <w:tcPr>
            <w:tcW w:w="2160" w:type="dxa"/>
          </w:tcPr>
          <w:p w14:paraId="40E71EC7" w14:textId="77777777" w:rsidR="00925B56" w:rsidRPr="0088341C" w:rsidRDefault="00925B56" w:rsidP="00CE35EE">
            <w:pPr>
              <w:widowControl/>
              <w:spacing w:line="276" w:lineRule="auto"/>
            </w:pPr>
            <w:r>
              <w:t>TBD</w:t>
            </w:r>
          </w:p>
        </w:tc>
      </w:tr>
      <w:tr w:rsidR="00925B56" w:rsidRPr="0088341C" w14:paraId="6A520353" w14:textId="77777777" w:rsidTr="00CE35EE">
        <w:tc>
          <w:tcPr>
            <w:tcW w:w="2988" w:type="dxa"/>
          </w:tcPr>
          <w:p w14:paraId="49ED3A8C" w14:textId="77777777" w:rsidR="00925B56" w:rsidRPr="0088341C" w:rsidRDefault="00925B56" w:rsidP="00CE35EE">
            <w:pPr>
              <w:widowControl/>
              <w:spacing w:line="276" w:lineRule="auto"/>
            </w:pPr>
            <w:r w:rsidRPr="0088341C">
              <w:t xml:space="preserve">Data </w:t>
            </w:r>
            <w:proofErr w:type="gramStart"/>
            <w:r w:rsidRPr="0088341C">
              <w:t>cached</w:t>
            </w:r>
            <w:proofErr w:type="gramEnd"/>
            <w:r w:rsidRPr="0088341C">
              <w:t xml:space="preserve"> in suspicious locations</w:t>
            </w:r>
          </w:p>
        </w:tc>
        <w:tc>
          <w:tcPr>
            <w:tcW w:w="1980" w:type="dxa"/>
          </w:tcPr>
          <w:p w14:paraId="2CEBE01B" w14:textId="77777777" w:rsidR="00925B56" w:rsidRPr="0088341C" w:rsidRDefault="00925B56" w:rsidP="00CE35EE">
            <w:pPr>
              <w:widowControl/>
              <w:spacing w:line="276" w:lineRule="auto"/>
            </w:pPr>
            <w:r w:rsidRPr="008E6388">
              <w:t>Splunk</w:t>
            </w:r>
          </w:p>
        </w:tc>
        <w:tc>
          <w:tcPr>
            <w:tcW w:w="1710" w:type="dxa"/>
          </w:tcPr>
          <w:p w14:paraId="70013E14" w14:textId="77777777" w:rsidR="00925B56" w:rsidRPr="0088341C" w:rsidRDefault="00925B56" w:rsidP="00CE35EE">
            <w:pPr>
              <w:widowControl/>
              <w:spacing w:line="276" w:lineRule="auto"/>
            </w:pPr>
            <w:r>
              <w:t>TBD</w:t>
            </w:r>
          </w:p>
        </w:tc>
        <w:tc>
          <w:tcPr>
            <w:tcW w:w="2160" w:type="dxa"/>
          </w:tcPr>
          <w:p w14:paraId="7AB77009" w14:textId="77777777" w:rsidR="00925B56" w:rsidRPr="0088341C" w:rsidRDefault="00925B56" w:rsidP="00CE35EE">
            <w:pPr>
              <w:widowControl/>
              <w:spacing w:line="276" w:lineRule="auto"/>
            </w:pPr>
            <w:r>
              <w:t>TBD</w:t>
            </w:r>
          </w:p>
        </w:tc>
      </w:tr>
      <w:tr w:rsidR="00925B56" w:rsidRPr="0088341C" w14:paraId="0963DEF0" w14:textId="77777777" w:rsidTr="00CE35EE">
        <w:tc>
          <w:tcPr>
            <w:tcW w:w="2988" w:type="dxa"/>
          </w:tcPr>
          <w:p w14:paraId="6756834E" w14:textId="77777777" w:rsidR="00925B56" w:rsidRPr="0088341C" w:rsidRDefault="00925B56" w:rsidP="00CE35EE">
            <w:pPr>
              <w:widowControl/>
              <w:spacing w:line="276" w:lineRule="auto"/>
            </w:pPr>
            <w:r w:rsidRPr="0088341C">
              <w:t>Patching anomalies</w:t>
            </w:r>
          </w:p>
        </w:tc>
        <w:tc>
          <w:tcPr>
            <w:tcW w:w="1980" w:type="dxa"/>
          </w:tcPr>
          <w:p w14:paraId="7CF846B6" w14:textId="77777777" w:rsidR="00925B56" w:rsidRPr="0088341C" w:rsidRDefault="00925B56" w:rsidP="00CE35EE">
            <w:pPr>
              <w:widowControl/>
              <w:spacing w:line="276" w:lineRule="auto"/>
            </w:pPr>
            <w:r w:rsidRPr="008E6388">
              <w:t>Splunk</w:t>
            </w:r>
          </w:p>
        </w:tc>
        <w:tc>
          <w:tcPr>
            <w:tcW w:w="1710" w:type="dxa"/>
          </w:tcPr>
          <w:p w14:paraId="5BBDAC3A" w14:textId="77777777" w:rsidR="00925B56" w:rsidRPr="0088341C" w:rsidRDefault="00925B56" w:rsidP="00CE35EE">
            <w:pPr>
              <w:widowControl/>
              <w:spacing w:line="276" w:lineRule="auto"/>
            </w:pPr>
            <w:r>
              <w:t>TBD</w:t>
            </w:r>
          </w:p>
        </w:tc>
        <w:tc>
          <w:tcPr>
            <w:tcW w:w="2160" w:type="dxa"/>
          </w:tcPr>
          <w:p w14:paraId="16850D82" w14:textId="77777777" w:rsidR="00925B56" w:rsidRPr="0088341C" w:rsidRDefault="00925B56" w:rsidP="00CE35EE">
            <w:pPr>
              <w:widowControl/>
              <w:spacing w:line="276" w:lineRule="auto"/>
            </w:pPr>
            <w:r>
              <w:t>TBD</w:t>
            </w:r>
          </w:p>
        </w:tc>
      </w:tr>
      <w:tr w:rsidR="00925B56" w:rsidRPr="0088341C" w14:paraId="069FF28B" w14:textId="77777777" w:rsidTr="00CE35EE">
        <w:tc>
          <w:tcPr>
            <w:tcW w:w="2988" w:type="dxa"/>
          </w:tcPr>
          <w:p w14:paraId="576C6531" w14:textId="77777777" w:rsidR="00925B56" w:rsidRPr="0088341C" w:rsidRDefault="00925B56" w:rsidP="00CE35EE">
            <w:pPr>
              <w:widowControl/>
              <w:spacing w:line="276" w:lineRule="auto"/>
            </w:pPr>
            <w:r w:rsidRPr="0088341C">
              <w:t>Bot-related web activity</w:t>
            </w:r>
          </w:p>
        </w:tc>
        <w:tc>
          <w:tcPr>
            <w:tcW w:w="1980" w:type="dxa"/>
          </w:tcPr>
          <w:p w14:paraId="7472F7FE" w14:textId="77777777" w:rsidR="00925B56" w:rsidRPr="0088341C" w:rsidRDefault="00925B56" w:rsidP="00CE35EE">
            <w:pPr>
              <w:widowControl/>
              <w:spacing w:line="276" w:lineRule="auto"/>
            </w:pPr>
            <w:r w:rsidRPr="008E6388">
              <w:t>Splunk</w:t>
            </w:r>
          </w:p>
        </w:tc>
        <w:tc>
          <w:tcPr>
            <w:tcW w:w="1710" w:type="dxa"/>
          </w:tcPr>
          <w:p w14:paraId="79A0BA64" w14:textId="77777777" w:rsidR="00925B56" w:rsidRPr="0088341C" w:rsidRDefault="00925B56" w:rsidP="00CE35EE">
            <w:pPr>
              <w:widowControl/>
              <w:spacing w:line="276" w:lineRule="auto"/>
            </w:pPr>
            <w:r>
              <w:t>TBD</w:t>
            </w:r>
          </w:p>
        </w:tc>
        <w:tc>
          <w:tcPr>
            <w:tcW w:w="2160" w:type="dxa"/>
          </w:tcPr>
          <w:p w14:paraId="261B768E" w14:textId="77777777" w:rsidR="00925B56" w:rsidRPr="0088341C" w:rsidRDefault="00925B56" w:rsidP="00CE35EE">
            <w:pPr>
              <w:widowControl/>
              <w:spacing w:line="276" w:lineRule="auto"/>
            </w:pPr>
            <w:r>
              <w:t>TBD</w:t>
            </w:r>
          </w:p>
        </w:tc>
      </w:tr>
      <w:tr w:rsidR="00925B56" w:rsidRPr="0088341C" w14:paraId="23708502" w14:textId="77777777" w:rsidTr="00CE35EE">
        <w:tc>
          <w:tcPr>
            <w:tcW w:w="2988" w:type="dxa"/>
          </w:tcPr>
          <w:p w14:paraId="41286084" w14:textId="77777777" w:rsidR="00925B56" w:rsidRPr="0088341C" w:rsidRDefault="00925B56" w:rsidP="00CE35EE">
            <w:pPr>
              <w:widowControl/>
              <w:spacing w:line="276" w:lineRule="auto"/>
            </w:pPr>
            <w:r w:rsidRPr="0088341C">
              <w:t>DDoS symptoms and activity</w:t>
            </w:r>
          </w:p>
        </w:tc>
        <w:tc>
          <w:tcPr>
            <w:tcW w:w="1980" w:type="dxa"/>
          </w:tcPr>
          <w:p w14:paraId="450B6D43" w14:textId="77777777" w:rsidR="00925B56" w:rsidRPr="0088341C" w:rsidRDefault="00925B56" w:rsidP="00CE35EE">
            <w:pPr>
              <w:widowControl/>
              <w:spacing w:line="276" w:lineRule="auto"/>
            </w:pPr>
            <w:r w:rsidRPr="008E6388">
              <w:t>Splunk</w:t>
            </w:r>
          </w:p>
        </w:tc>
        <w:tc>
          <w:tcPr>
            <w:tcW w:w="1710" w:type="dxa"/>
          </w:tcPr>
          <w:p w14:paraId="626B7DDA" w14:textId="77777777" w:rsidR="00925B56" w:rsidRPr="0088341C" w:rsidRDefault="00925B56" w:rsidP="00CE35EE">
            <w:pPr>
              <w:widowControl/>
              <w:spacing w:line="276" w:lineRule="auto"/>
            </w:pPr>
            <w:r>
              <w:t>TBD</w:t>
            </w:r>
          </w:p>
        </w:tc>
        <w:tc>
          <w:tcPr>
            <w:tcW w:w="2160" w:type="dxa"/>
          </w:tcPr>
          <w:p w14:paraId="50C7FE38" w14:textId="77777777" w:rsidR="00925B56" w:rsidRPr="0088341C" w:rsidRDefault="00925B56" w:rsidP="00CE35EE">
            <w:pPr>
              <w:widowControl/>
              <w:spacing w:line="276" w:lineRule="auto"/>
            </w:pPr>
            <w:r>
              <w:t>TBD</w:t>
            </w:r>
          </w:p>
        </w:tc>
      </w:tr>
      <w:tr w:rsidR="00925B56" w:rsidRPr="0088341C" w14:paraId="30EFCF7E" w14:textId="77777777" w:rsidTr="00CE35EE">
        <w:tc>
          <w:tcPr>
            <w:tcW w:w="2988" w:type="dxa"/>
          </w:tcPr>
          <w:p w14:paraId="2EAB6F53" w14:textId="77777777" w:rsidR="00925B56" w:rsidRPr="0088341C" w:rsidRDefault="00925B56" w:rsidP="00CE35EE">
            <w:pPr>
              <w:widowControl/>
              <w:spacing w:line="276" w:lineRule="auto"/>
            </w:pPr>
            <w:r w:rsidRPr="00D87E3F">
              <w:t xml:space="preserve">4624 authentication events </w:t>
            </w:r>
            <w:r w:rsidRPr="00D87E3F">
              <w:rPr>
                <w:sz w:val="16"/>
              </w:rPr>
              <w:t>(An account was successfully logged on) from within systems on the network; look for odd patterns</w:t>
            </w:r>
          </w:p>
        </w:tc>
        <w:tc>
          <w:tcPr>
            <w:tcW w:w="1980" w:type="dxa"/>
          </w:tcPr>
          <w:p w14:paraId="01DA9594" w14:textId="77777777" w:rsidR="00925B56" w:rsidRPr="008E6388" w:rsidRDefault="00925B56" w:rsidP="00CE35EE">
            <w:pPr>
              <w:widowControl/>
              <w:spacing w:line="276" w:lineRule="auto"/>
            </w:pPr>
            <w:r w:rsidRPr="008E6388">
              <w:t>Splunk</w:t>
            </w:r>
          </w:p>
        </w:tc>
        <w:tc>
          <w:tcPr>
            <w:tcW w:w="1710" w:type="dxa"/>
          </w:tcPr>
          <w:p w14:paraId="39A8FAC0" w14:textId="77777777" w:rsidR="00925B56" w:rsidRDefault="00925B56" w:rsidP="00CE35EE">
            <w:pPr>
              <w:widowControl/>
              <w:spacing w:line="276" w:lineRule="auto"/>
            </w:pPr>
            <w:r>
              <w:t>TBD</w:t>
            </w:r>
          </w:p>
        </w:tc>
        <w:tc>
          <w:tcPr>
            <w:tcW w:w="2160" w:type="dxa"/>
          </w:tcPr>
          <w:p w14:paraId="22A86322" w14:textId="77777777" w:rsidR="00925B56" w:rsidRDefault="00925B56" w:rsidP="00CE35EE">
            <w:pPr>
              <w:widowControl/>
              <w:spacing w:line="276" w:lineRule="auto"/>
            </w:pPr>
            <w:r>
              <w:t>TBD</w:t>
            </w:r>
          </w:p>
        </w:tc>
      </w:tr>
      <w:tr w:rsidR="00925B56" w:rsidRPr="0088341C" w14:paraId="268E023E" w14:textId="77777777" w:rsidTr="00CE35EE">
        <w:tc>
          <w:tcPr>
            <w:tcW w:w="2988" w:type="dxa"/>
          </w:tcPr>
          <w:p w14:paraId="7AF7DAD4" w14:textId="77777777" w:rsidR="00925B56" w:rsidRPr="0088341C" w:rsidRDefault="00925B56" w:rsidP="00CE35EE">
            <w:pPr>
              <w:widowControl/>
              <w:spacing w:line="276" w:lineRule="auto"/>
            </w:pPr>
            <w:r w:rsidRPr="00D87E3F">
              <w:t xml:space="preserve">4688 events </w:t>
            </w:r>
            <w:r w:rsidRPr="00D87E3F">
              <w:rPr>
                <w:sz w:val="16"/>
              </w:rPr>
              <w:t>(A new process has been created) and related command line and PowerShell processes</w:t>
            </w:r>
          </w:p>
        </w:tc>
        <w:tc>
          <w:tcPr>
            <w:tcW w:w="1980" w:type="dxa"/>
          </w:tcPr>
          <w:p w14:paraId="1192F0DA" w14:textId="77777777" w:rsidR="00925B56" w:rsidRPr="008E6388" w:rsidRDefault="00925B56" w:rsidP="00CE35EE">
            <w:pPr>
              <w:widowControl/>
              <w:spacing w:line="276" w:lineRule="auto"/>
            </w:pPr>
            <w:r w:rsidRPr="008E6388">
              <w:t>Splunk</w:t>
            </w:r>
          </w:p>
        </w:tc>
        <w:tc>
          <w:tcPr>
            <w:tcW w:w="1710" w:type="dxa"/>
          </w:tcPr>
          <w:p w14:paraId="4D2E9C28" w14:textId="77777777" w:rsidR="00925B56" w:rsidRDefault="00925B56" w:rsidP="00CE35EE">
            <w:pPr>
              <w:widowControl/>
              <w:spacing w:line="276" w:lineRule="auto"/>
            </w:pPr>
            <w:r>
              <w:t>TBD</w:t>
            </w:r>
          </w:p>
        </w:tc>
        <w:tc>
          <w:tcPr>
            <w:tcW w:w="2160" w:type="dxa"/>
          </w:tcPr>
          <w:p w14:paraId="102996E1" w14:textId="77777777" w:rsidR="00925B56" w:rsidRDefault="00925B56" w:rsidP="00CE35EE">
            <w:pPr>
              <w:widowControl/>
              <w:spacing w:line="276" w:lineRule="auto"/>
            </w:pPr>
            <w:r>
              <w:t>TBD</w:t>
            </w:r>
          </w:p>
        </w:tc>
      </w:tr>
      <w:tr w:rsidR="00925B56" w:rsidRPr="0088341C" w14:paraId="35CE8BAD" w14:textId="77777777" w:rsidTr="00CE35EE">
        <w:tc>
          <w:tcPr>
            <w:tcW w:w="2988" w:type="dxa"/>
          </w:tcPr>
          <w:p w14:paraId="30F8C975" w14:textId="77777777" w:rsidR="00925B56" w:rsidRPr="0088341C" w:rsidRDefault="00925B56" w:rsidP="00CE35EE">
            <w:pPr>
              <w:widowControl/>
              <w:spacing w:line="276" w:lineRule="auto"/>
            </w:pPr>
            <w:r w:rsidRPr="00646457">
              <w:t>Long running transactions (&gt;8 hours)</w:t>
            </w:r>
          </w:p>
        </w:tc>
        <w:tc>
          <w:tcPr>
            <w:tcW w:w="1980" w:type="dxa"/>
          </w:tcPr>
          <w:p w14:paraId="53556B8A" w14:textId="77777777" w:rsidR="00925B56" w:rsidRPr="008E6388" w:rsidRDefault="00925B56" w:rsidP="00CE35EE">
            <w:pPr>
              <w:widowControl/>
              <w:spacing w:line="276" w:lineRule="auto"/>
            </w:pPr>
            <w:r w:rsidRPr="008E6388">
              <w:t>Splunk</w:t>
            </w:r>
          </w:p>
        </w:tc>
        <w:tc>
          <w:tcPr>
            <w:tcW w:w="1710" w:type="dxa"/>
          </w:tcPr>
          <w:p w14:paraId="0F0B6567" w14:textId="77777777" w:rsidR="00925B56" w:rsidRDefault="00925B56" w:rsidP="00CE35EE">
            <w:pPr>
              <w:widowControl/>
              <w:spacing w:line="276" w:lineRule="auto"/>
            </w:pPr>
            <w:r>
              <w:t>TBD</w:t>
            </w:r>
          </w:p>
        </w:tc>
        <w:tc>
          <w:tcPr>
            <w:tcW w:w="2160" w:type="dxa"/>
          </w:tcPr>
          <w:p w14:paraId="433DD2D8" w14:textId="77777777" w:rsidR="00925B56" w:rsidRDefault="00925B56" w:rsidP="00CE35EE">
            <w:pPr>
              <w:widowControl/>
              <w:spacing w:line="276" w:lineRule="auto"/>
            </w:pPr>
            <w:r>
              <w:t>TBD</w:t>
            </w:r>
          </w:p>
        </w:tc>
      </w:tr>
      <w:tr w:rsidR="00925B56" w:rsidRPr="0088341C" w14:paraId="4FDD4772" w14:textId="77777777" w:rsidTr="00CE35EE">
        <w:tc>
          <w:tcPr>
            <w:tcW w:w="2988" w:type="dxa"/>
          </w:tcPr>
          <w:p w14:paraId="4FD13234" w14:textId="77777777" w:rsidR="00925B56" w:rsidRPr="0088341C" w:rsidRDefault="00925B56" w:rsidP="00CE35EE">
            <w:pPr>
              <w:widowControl/>
              <w:spacing w:line="276" w:lineRule="auto"/>
            </w:pPr>
            <w:r w:rsidRPr="00646457">
              <w:t xml:space="preserve">DNS responses with high entropy (very random) domain names </w:t>
            </w:r>
          </w:p>
        </w:tc>
        <w:tc>
          <w:tcPr>
            <w:tcW w:w="1980" w:type="dxa"/>
          </w:tcPr>
          <w:p w14:paraId="277FE43C" w14:textId="77777777" w:rsidR="00925B56" w:rsidRPr="008E6388" w:rsidRDefault="00925B56" w:rsidP="00CE35EE">
            <w:pPr>
              <w:widowControl/>
              <w:spacing w:line="276" w:lineRule="auto"/>
            </w:pPr>
            <w:r w:rsidRPr="008E6388">
              <w:t>Splunk</w:t>
            </w:r>
          </w:p>
        </w:tc>
        <w:tc>
          <w:tcPr>
            <w:tcW w:w="1710" w:type="dxa"/>
          </w:tcPr>
          <w:p w14:paraId="7063A87C" w14:textId="77777777" w:rsidR="00925B56" w:rsidRDefault="00925B56" w:rsidP="00CE35EE">
            <w:pPr>
              <w:widowControl/>
              <w:spacing w:line="276" w:lineRule="auto"/>
            </w:pPr>
            <w:r>
              <w:t>TBD</w:t>
            </w:r>
          </w:p>
        </w:tc>
        <w:tc>
          <w:tcPr>
            <w:tcW w:w="2160" w:type="dxa"/>
          </w:tcPr>
          <w:p w14:paraId="3A43A352" w14:textId="77777777" w:rsidR="00925B56" w:rsidRDefault="00925B56" w:rsidP="00CE35EE">
            <w:pPr>
              <w:widowControl/>
              <w:spacing w:line="276" w:lineRule="auto"/>
            </w:pPr>
            <w:r>
              <w:t>TBD</w:t>
            </w:r>
          </w:p>
        </w:tc>
      </w:tr>
      <w:tr w:rsidR="00925B56" w:rsidRPr="0088341C" w14:paraId="5E4B79C4" w14:textId="77777777" w:rsidTr="00CE35EE">
        <w:tc>
          <w:tcPr>
            <w:tcW w:w="2988" w:type="dxa"/>
          </w:tcPr>
          <w:p w14:paraId="770AC544" w14:textId="77777777" w:rsidR="00925B56" w:rsidRPr="0088341C" w:rsidRDefault="00925B56" w:rsidP="00CE35EE">
            <w:pPr>
              <w:widowControl/>
              <w:spacing w:line="276" w:lineRule="auto"/>
            </w:pPr>
            <w:r w:rsidRPr="00646457">
              <w:t>Unknown user agents observed</w:t>
            </w:r>
          </w:p>
        </w:tc>
        <w:tc>
          <w:tcPr>
            <w:tcW w:w="1980" w:type="dxa"/>
          </w:tcPr>
          <w:p w14:paraId="733EAE45" w14:textId="77777777" w:rsidR="00925B56" w:rsidRPr="008E6388" w:rsidRDefault="00925B56" w:rsidP="00CE35EE">
            <w:pPr>
              <w:widowControl/>
              <w:spacing w:line="276" w:lineRule="auto"/>
            </w:pPr>
            <w:r w:rsidRPr="008E6388">
              <w:t>Splunk</w:t>
            </w:r>
          </w:p>
        </w:tc>
        <w:tc>
          <w:tcPr>
            <w:tcW w:w="1710" w:type="dxa"/>
          </w:tcPr>
          <w:p w14:paraId="46B094E9" w14:textId="77777777" w:rsidR="00925B56" w:rsidRDefault="00925B56" w:rsidP="00CE35EE">
            <w:pPr>
              <w:widowControl/>
              <w:spacing w:line="276" w:lineRule="auto"/>
            </w:pPr>
            <w:r>
              <w:t>TBD</w:t>
            </w:r>
          </w:p>
        </w:tc>
        <w:tc>
          <w:tcPr>
            <w:tcW w:w="2160" w:type="dxa"/>
          </w:tcPr>
          <w:p w14:paraId="7F4D949E" w14:textId="77777777" w:rsidR="00925B56" w:rsidRDefault="00925B56" w:rsidP="00CE35EE">
            <w:pPr>
              <w:widowControl/>
              <w:spacing w:line="276" w:lineRule="auto"/>
            </w:pPr>
            <w:r>
              <w:t>TBD</w:t>
            </w:r>
          </w:p>
        </w:tc>
      </w:tr>
      <w:tr w:rsidR="00925B56" w:rsidRPr="0088341C" w14:paraId="34D7B561" w14:textId="77777777" w:rsidTr="00CE35EE">
        <w:tc>
          <w:tcPr>
            <w:tcW w:w="2988" w:type="dxa"/>
          </w:tcPr>
          <w:p w14:paraId="108B4486" w14:textId="77777777" w:rsidR="00925B56" w:rsidRPr="0088341C" w:rsidRDefault="00925B56" w:rsidP="00CE35EE">
            <w:pPr>
              <w:widowControl/>
              <w:spacing w:line="276" w:lineRule="auto"/>
            </w:pPr>
            <w:r w:rsidRPr="00646457">
              <w:t>SSL interactions with known malicious, self-signed sites</w:t>
            </w:r>
          </w:p>
        </w:tc>
        <w:tc>
          <w:tcPr>
            <w:tcW w:w="1980" w:type="dxa"/>
          </w:tcPr>
          <w:p w14:paraId="49D086DF" w14:textId="77777777" w:rsidR="00925B56" w:rsidRPr="008E6388" w:rsidRDefault="00925B56" w:rsidP="00CE35EE">
            <w:pPr>
              <w:widowControl/>
              <w:spacing w:line="276" w:lineRule="auto"/>
            </w:pPr>
            <w:r w:rsidRPr="008E6388">
              <w:t>Splunk</w:t>
            </w:r>
          </w:p>
        </w:tc>
        <w:tc>
          <w:tcPr>
            <w:tcW w:w="1710" w:type="dxa"/>
          </w:tcPr>
          <w:p w14:paraId="5FD2E9B5" w14:textId="77777777" w:rsidR="00925B56" w:rsidRDefault="00925B56" w:rsidP="00CE35EE">
            <w:pPr>
              <w:widowControl/>
              <w:spacing w:line="276" w:lineRule="auto"/>
            </w:pPr>
            <w:r>
              <w:t>TBD</w:t>
            </w:r>
          </w:p>
        </w:tc>
        <w:tc>
          <w:tcPr>
            <w:tcW w:w="2160" w:type="dxa"/>
          </w:tcPr>
          <w:p w14:paraId="395CB6A5" w14:textId="77777777" w:rsidR="00925B56" w:rsidRDefault="00925B56" w:rsidP="00CE35EE">
            <w:pPr>
              <w:widowControl/>
              <w:spacing w:line="276" w:lineRule="auto"/>
            </w:pPr>
            <w:r>
              <w:t>TBD</w:t>
            </w:r>
          </w:p>
        </w:tc>
      </w:tr>
      <w:tr w:rsidR="00925B56" w:rsidRPr="0088341C" w14:paraId="60B6F6AB" w14:textId="77777777" w:rsidTr="00CE35EE">
        <w:tc>
          <w:tcPr>
            <w:tcW w:w="2988" w:type="dxa"/>
          </w:tcPr>
          <w:p w14:paraId="5256111F" w14:textId="77777777" w:rsidR="00925B56" w:rsidRPr="0088341C" w:rsidRDefault="00925B56" w:rsidP="00CE35EE">
            <w:pPr>
              <w:widowControl/>
              <w:spacing w:line="276" w:lineRule="auto"/>
            </w:pPr>
            <w:r w:rsidRPr="00646457">
              <w:t>Dynamic DNS queries to D-DNS providers</w:t>
            </w:r>
          </w:p>
        </w:tc>
        <w:tc>
          <w:tcPr>
            <w:tcW w:w="1980" w:type="dxa"/>
          </w:tcPr>
          <w:p w14:paraId="4ADBA5A8" w14:textId="77777777" w:rsidR="00925B56" w:rsidRPr="008E6388" w:rsidRDefault="00925B56" w:rsidP="00CE35EE">
            <w:pPr>
              <w:widowControl/>
              <w:spacing w:line="276" w:lineRule="auto"/>
            </w:pPr>
            <w:r w:rsidRPr="008E6388">
              <w:t>Splunk</w:t>
            </w:r>
          </w:p>
        </w:tc>
        <w:tc>
          <w:tcPr>
            <w:tcW w:w="1710" w:type="dxa"/>
          </w:tcPr>
          <w:p w14:paraId="676EFE3D" w14:textId="77777777" w:rsidR="00925B56" w:rsidRDefault="00925B56" w:rsidP="00CE35EE">
            <w:pPr>
              <w:widowControl/>
              <w:spacing w:line="276" w:lineRule="auto"/>
            </w:pPr>
            <w:r>
              <w:t>TBD</w:t>
            </w:r>
          </w:p>
        </w:tc>
        <w:tc>
          <w:tcPr>
            <w:tcW w:w="2160" w:type="dxa"/>
          </w:tcPr>
          <w:p w14:paraId="281C4CB1" w14:textId="77777777" w:rsidR="00925B56" w:rsidRDefault="00925B56" w:rsidP="00CE35EE">
            <w:pPr>
              <w:widowControl/>
              <w:spacing w:line="276" w:lineRule="auto"/>
            </w:pPr>
            <w:r>
              <w:t>TBD</w:t>
            </w:r>
          </w:p>
        </w:tc>
      </w:tr>
      <w:tr w:rsidR="00925B56" w:rsidRPr="0088341C" w14:paraId="273CBE2A" w14:textId="77777777" w:rsidTr="00CE35EE">
        <w:tc>
          <w:tcPr>
            <w:tcW w:w="2988" w:type="dxa"/>
          </w:tcPr>
          <w:p w14:paraId="6621EC30" w14:textId="77777777" w:rsidR="00925B56" w:rsidRPr="0088341C" w:rsidRDefault="00925B56" w:rsidP="00CE35EE">
            <w:pPr>
              <w:widowControl/>
              <w:spacing w:line="276" w:lineRule="auto"/>
            </w:pPr>
            <w:proofErr w:type="gramStart"/>
            <w:r w:rsidRPr="00646457">
              <w:t>Long  DNS</w:t>
            </w:r>
            <w:proofErr w:type="gramEnd"/>
            <w:r w:rsidRPr="00646457">
              <w:t xml:space="preserve"> queries, DNS txt queries, excessive DNS failed queries</w:t>
            </w:r>
          </w:p>
        </w:tc>
        <w:tc>
          <w:tcPr>
            <w:tcW w:w="1980" w:type="dxa"/>
          </w:tcPr>
          <w:p w14:paraId="3E6EE71F" w14:textId="77777777" w:rsidR="00925B56" w:rsidRPr="008E6388" w:rsidRDefault="00925B56" w:rsidP="00CE35EE">
            <w:pPr>
              <w:widowControl/>
              <w:spacing w:line="276" w:lineRule="auto"/>
            </w:pPr>
            <w:r w:rsidRPr="008E6388">
              <w:t>Splunk</w:t>
            </w:r>
          </w:p>
        </w:tc>
        <w:tc>
          <w:tcPr>
            <w:tcW w:w="1710" w:type="dxa"/>
          </w:tcPr>
          <w:p w14:paraId="3FA56980" w14:textId="77777777" w:rsidR="00925B56" w:rsidRDefault="00925B56" w:rsidP="00CE35EE">
            <w:pPr>
              <w:widowControl/>
              <w:spacing w:line="276" w:lineRule="auto"/>
            </w:pPr>
            <w:r>
              <w:t>TBD</w:t>
            </w:r>
          </w:p>
        </w:tc>
        <w:tc>
          <w:tcPr>
            <w:tcW w:w="2160" w:type="dxa"/>
          </w:tcPr>
          <w:p w14:paraId="47CD3A27" w14:textId="77777777" w:rsidR="00925B56" w:rsidRDefault="00925B56" w:rsidP="00CE35EE">
            <w:pPr>
              <w:widowControl/>
              <w:spacing w:line="276" w:lineRule="auto"/>
            </w:pPr>
            <w:r>
              <w:t>TBD</w:t>
            </w:r>
          </w:p>
        </w:tc>
      </w:tr>
      <w:tr w:rsidR="00925B56" w:rsidRPr="0088341C" w14:paraId="7CC28027" w14:textId="77777777" w:rsidTr="00CE35EE">
        <w:tc>
          <w:tcPr>
            <w:tcW w:w="2988" w:type="dxa"/>
          </w:tcPr>
          <w:p w14:paraId="60581C7C" w14:textId="77777777" w:rsidR="00925B56" w:rsidRPr="0088341C" w:rsidRDefault="00925B56" w:rsidP="00CE35EE">
            <w:pPr>
              <w:widowControl/>
              <w:spacing w:line="276" w:lineRule="auto"/>
            </w:pPr>
            <w:r>
              <w:lastRenderedPageBreak/>
              <w:t>N</w:t>
            </w:r>
            <w:r w:rsidRPr="00646457">
              <w:t xml:space="preserve">etwork protocols misuse, </w:t>
            </w:r>
            <w:proofErr w:type="spellStart"/>
            <w:r w:rsidRPr="00646457">
              <w:t>ie</w:t>
            </w:r>
            <w:proofErr w:type="spellEnd"/>
            <w:r w:rsidRPr="00646457">
              <w:t xml:space="preserve"> DNS packets used to exfiltrate data?</w:t>
            </w:r>
          </w:p>
        </w:tc>
        <w:tc>
          <w:tcPr>
            <w:tcW w:w="1980" w:type="dxa"/>
          </w:tcPr>
          <w:p w14:paraId="2F49A8F9" w14:textId="77777777" w:rsidR="00925B56" w:rsidRPr="008E6388" w:rsidRDefault="00925B56" w:rsidP="00CE35EE">
            <w:pPr>
              <w:widowControl/>
              <w:spacing w:line="276" w:lineRule="auto"/>
            </w:pPr>
            <w:r w:rsidRPr="008E6388">
              <w:t>Splunk</w:t>
            </w:r>
          </w:p>
        </w:tc>
        <w:tc>
          <w:tcPr>
            <w:tcW w:w="1710" w:type="dxa"/>
          </w:tcPr>
          <w:p w14:paraId="37E42FD3" w14:textId="77777777" w:rsidR="00925B56" w:rsidRDefault="00925B56" w:rsidP="00CE35EE">
            <w:pPr>
              <w:widowControl/>
              <w:spacing w:line="276" w:lineRule="auto"/>
            </w:pPr>
            <w:r>
              <w:t>TBD</w:t>
            </w:r>
          </w:p>
        </w:tc>
        <w:tc>
          <w:tcPr>
            <w:tcW w:w="2160" w:type="dxa"/>
          </w:tcPr>
          <w:p w14:paraId="480B838C" w14:textId="77777777" w:rsidR="00925B56" w:rsidRDefault="00925B56" w:rsidP="00CE35EE">
            <w:pPr>
              <w:widowControl/>
              <w:spacing w:line="276" w:lineRule="auto"/>
            </w:pPr>
            <w:r>
              <w:t>TBD</w:t>
            </w:r>
          </w:p>
        </w:tc>
      </w:tr>
    </w:tbl>
    <w:p w14:paraId="5829B084" w14:textId="77777777" w:rsidR="00925B56" w:rsidRDefault="00925B56" w:rsidP="00925B56"/>
    <w:p w14:paraId="21E6B8C2" w14:textId="77777777" w:rsidR="00925B56" w:rsidRDefault="00925B56" w:rsidP="00925B56"/>
    <w:p w14:paraId="3D41B75C" w14:textId="5265AE90" w:rsidR="00925B56" w:rsidRPr="00925B56" w:rsidRDefault="00925B56" w:rsidP="00925B56">
      <w:r w:rsidRPr="00925B56">
        <w:t xml:space="preserve">Baseline values are established by </w:t>
      </w:r>
      <w:proofErr w:type="spellStart"/>
      <w:r w:rsidRPr="00925B56">
        <w:t>CORe</w:t>
      </w:r>
      <w:proofErr w:type="spellEnd"/>
      <w:r w:rsidRPr="00925B56">
        <w:t xml:space="preserve"> Splunk engineers through dashboards and reporting. Analysts compare current measurements against these baselines during investigations.</w:t>
      </w:r>
    </w:p>
    <w:p w14:paraId="1D240889" w14:textId="77777777" w:rsidR="00925B56" w:rsidRPr="00925B56" w:rsidRDefault="00925B56" w:rsidP="00925B56">
      <w:r w:rsidRPr="00925B56">
        <w:rPr>
          <w:b/>
          <w:bCs/>
        </w:rPr>
        <w:t>Note:</w:t>
      </w:r>
      <w:r w:rsidRPr="00925B56">
        <w:t xml:space="preserve"> While some baseline capabilities may be under development, establishing and refining these measurements remains an operational objective.</w:t>
      </w:r>
    </w:p>
    <w:p w14:paraId="0A682785" w14:textId="77777777" w:rsidR="00925B56" w:rsidRPr="00925B56" w:rsidRDefault="00925B56" w:rsidP="00925B56">
      <w:pPr>
        <w:rPr>
          <w:b/>
          <w:bCs/>
        </w:rPr>
      </w:pPr>
      <w:r w:rsidRPr="00925B56">
        <w:rPr>
          <w:b/>
          <w:bCs/>
        </w:rPr>
        <w:t>6.5 Documentation and Shift Continuity</w:t>
      </w:r>
    </w:p>
    <w:p w14:paraId="58C0D230" w14:textId="77777777" w:rsidR="00925B56" w:rsidRPr="00925B56" w:rsidRDefault="00925B56" w:rsidP="00925B56">
      <w:r w:rsidRPr="00925B56">
        <w:t>All collection activities shall be documented in the Response Tracker (RT). Collection continues across shifts until complete. Outgoing analysts must provide a detailed handoff to incoming analysts during shift turnover.</w:t>
      </w:r>
    </w:p>
    <w:p w14:paraId="784C501A" w14:textId="77777777" w:rsidR="00925B56" w:rsidRPr="00925B56" w:rsidRDefault="00925B56" w:rsidP="00925B56">
      <w:r w:rsidRPr="00925B56">
        <w:pict w14:anchorId="71B311DF">
          <v:rect id="_x0000_i1091" style="width:0;height:1.5pt" o:hralign="center" o:hrstd="t" o:hr="t" fillcolor="#a0a0a0" stroked="f"/>
        </w:pict>
      </w:r>
    </w:p>
    <w:p w14:paraId="22A9FF64" w14:textId="77777777" w:rsidR="00925B56" w:rsidRPr="00925B56" w:rsidRDefault="00925B56" w:rsidP="00925B56">
      <w:pPr>
        <w:rPr>
          <w:b/>
          <w:bCs/>
        </w:rPr>
      </w:pPr>
      <w:r w:rsidRPr="00925B56">
        <w:rPr>
          <w:b/>
          <w:bCs/>
        </w:rPr>
        <w:t>7. Examination</w:t>
      </w:r>
    </w:p>
    <w:p w14:paraId="6EB7623D" w14:textId="77777777" w:rsidR="00925B56" w:rsidRPr="00925B56" w:rsidRDefault="00925B56" w:rsidP="00925B56">
      <w:r w:rsidRPr="00925B56">
        <w:t>During the Examination phase, analysts develop and test hypotheses regarding potential threats within the environment. Hypotheses are informed by collected data, threat intelligence, situational awareness, and analyst experience.</w:t>
      </w:r>
    </w:p>
    <w:p w14:paraId="0C409FDF" w14:textId="77777777" w:rsidR="00925B56" w:rsidRPr="00925B56" w:rsidRDefault="00925B56" w:rsidP="00925B56">
      <w:r w:rsidRPr="00925B56">
        <w:t xml:space="preserve">Threat hunting is inherently </w:t>
      </w:r>
      <w:proofErr w:type="gramStart"/>
      <w:r w:rsidRPr="00925B56">
        <w:t>hypothesis-driven</w:t>
      </w:r>
      <w:proofErr w:type="gramEnd"/>
      <w:r w:rsidRPr="00925B56">
        <w:t>. Analysts adopt a security mindset by posing “what-if” questions to explain observed anomalies and determine whether adversary activity is present.</w:t>
      </w:r>
    </w:p>
    <w:p w14:paraId="2641DC18" w14:textId="77777777" w:rsidR="00925B56" w:rsidRPr="00925B56" w:rsidRDefault="00925B56" w:rsidP="00925B56">
      <w:pPr>
        <w:rPr>
          <w:b/>
          <w:bCs/>
        </w:rPr>
      </w:pPr>
      <w:r w:rsidRPr="00925B56">
        <w:rPr>
          <w:b/>
          <w:bCs/>
        </w:rPr>
        <w:t>7.1 Hypothesis Examples</w:t>
      </w:r>
    </w:p>
    <w:p w14:paraId="47A55365" w14:textId="77777777" w:rsidR="00925B56" w:rsidRPr="00925B56" w:rsidRDefault="00925B56" w:rsidP="00925B56">
      <w:pPr>
        <w:numPr>
          <w:ilvl w:val="0"/>
          <w:numId w:val="8"/>
        </w:numPr>
      </w:pPr>
      <w:r w:rsidRPr="00925B56">
        <w:t>If privileged account anomalies exist, could an adversary have compromised elevated credentials?</w:t>
      </w:r>
    </w:p>
    <w:p w14:paraId="2C7D18E4" w14:textId="77777777" w:rsidR="00925B56" w:rsidRPr="00925B56" w:rsidRDefault="00925B56" w:rsidP="00925B56">
      <w:pPr>
        <w:numPr>
          <w:ilvl w:val="0"/>
          <w:numId w:val="8"/>
        </w:numPr>
      </w:pPr>
      <w:r w:rsidRPr="00925B56">
        <w:t>If patching anomalies are observed, could systems have been intentionally downgraded to reintroduce vulnerabilities?</w:t>
      </w:r>
    </w:p>
    <w:p w14:paraId="5630BC71" w14:textId="77777777" w:rsidR="00925B56" w:rsidRPr="00925B56" w:rsidRDefault="00925B56" w:rsidP="00925B56">
      <w:pPr>
        <w:numPr>
          <w:ilvl w:val="0"/>
          <w:numId w:val="8"/>
        </w:numPr>
      </w:pPr>
      <w:r w:rsidRPr="00925B56">
        <w:t>If abnormal HTML response sizes occur, could data exfiltration be taking place?</w:t>
      </w:r>
    </w:p>
    <w:p w14:paraId="26BA1E2F" w14:textId="77777777" w:rsidR="00925B56" w:rsidRDefault="00925B56" w:rsidP="00925B56">
      <w:pPr>
        <w:numPr>
          <w:ilvl w:val="0"/>
          <w:numId w:val="8"/>
        </w:numPr>
      </w:pPr>
      <w:r w:rsidRPr="00925B56">
        <w:t>If unusual outbound traffic is detected, could command-and-control communications be established?</w:t>
      </w:r>
    </w:p>
    <w:p w14:paraId="08284140" w14:textId="0B5BE076" w:rsidR="00925B56" w:rsidRDefault="00925B56" w:rsidP="00925B56">
      <w:pPr>
        <w:ind w:left="720"/>
      </w:pPr>
      <w:r w:rsidRPr="00925B56">
        <w:lastRenderedPageBreak/>
        <w:t>The following table provides guideline questions to be considered during the examination phase:</w:t>
      </w:r>
    </w:p>
    <w:p w14:paraId="3D5C17A9" w14:textId="09C967F1" w:rsidR="00925B56" w:rsidRPr="00925B56" w:rsidRDefault="00925B56" w:rsidP="00925B56">
      <w:pPr>
        <w:pStyle w:val="Caption"/>
        <w:keepNext/>
        <w:jc w:val="center"/>
      </w:pPr>
      <w:r>
        <w:t xml:space="preserve">Table </w:t>
      </w:r>
      <w:r>
        <w:t>2</w:t>
      </w:r>
      <w:r>
        <w:t xml:space="preserve">: </w:t>
      </w:r>
      <w:r>
        <w:t>Examination Questions</w:t>
      </w:r>
    </w:p>
    <w:tbl>
      <w:tblPr>
        <w:tblStyle w:val="TableGrid"/>
        <w:tblW w:w="9558" w:type="dxa"/>
        <w:tblInd w:w="360" w:type="dxa"/>
        <w:tblLook w:val="04A0" w:firstRow="1" w:lastRow="0" w:firstColumn="1" w:lastColumn="0" w:noHBand="0" w:noVBand="1"/>
      </w:tblPr>
      <w:tblGrid>
        <w:gridCol w:w="4158"/>
        <w:gridCol w:w="3060"/>
        <w:gridCol w:w="2340"/>
      </w:tblGrid>
      <w:tr w:rsidR="00925B56" w:rsidRPr="004C3EA7" w14:paraId="16833923" w14:textId="77777777" w:rsidTr="00CE35EE">
        <w:tc>
          <w:tcPr>
            <w:tcW w:w="4158" w:type="dxa"/>
          </w:tcPr>
          <w:p w14:paraId="1410277F" w14:textId="77777777" w:rsidR="00925B56" w:rsidRPr="004C3EA7" w:rsidRDefault="00925B56" w:rsidP="00CE35EE">
            <w:pPr>
              <w:widowControl/>
              <w:spacing w:line="276" w:lineRule="auto"/>
              <w:rPr>
                <w:b/>
              </w:rPr>
            </w:pPr>
            <w:r w:rsidRPr="004C3EA7">
              <w:rPr>
                <w:b/>
              </w:rPr>
              <w:t>Examination Question</w:t>
            </w:r>
          </w:p>
        </w:tc>
        <w:tc>
          <w:tcPr>
            <w:tcW w:w="3060" w:type="dxa"/>
          </w:tcPr>
          <w:p w14:paraId="4AC7F453" w14:textId="77777777" w:rsidR="00925B56" w:rsidRPr="004C3EA7" w:rsidRDefault="00925B56" w:rsidP="00CE35EE">
            <w:pPr>
              <w:widowControl/>
              <w:spacing w:line="276" w:lineRule="auto"/>
              <w:rPr>
                <w:b/>
              </w:rPr>
            </w:pPr>
            <w:r w:rsidRPr="004C3EA7">
              <w:rPr>
                <w:b/>
              </w:rPr>
              <w:t>Tool, Technique, or Procedure</w:t>
            </w:r>
          </w:p>
        </w:tc>
        <w:tc>
          <w:tcPr>
            <w:tcW w:w="2340" w:type="dxa"/>
          </w:tcPr>
          <w:p w14:paraId="73F4EF0A" w14:textId="77777777" w:rsidR="00925B56" w:rsidRPr="004C3EA7" w:rsidRDefault="00925B56" w:rsidP="00CE35EE">
            <w:pPr>
              <w:widowControl/>
              <w:spacing w:line="276" w:lineRule="auto"/>
              <w:rPr>
                <w:b/>
              </w:rPr>
            </w:pPr>
            <w:r w:rsidRPr="004C3EA7">
              <w:rPr>
                <w:b/>
              </w:rPr>
              <w:t>Reference</w:t>
            </w:r>
          </w:p>
        </w:tc>
      </w:tr>
      <w:tr w:rsidR="00925B56" w:rsidRPr="004C3EA7" w14:paraId="4C1E79D8" w14:textId="77777777" w:rsidTr="00CE35EE">
        <w:tc>
          <w:tcPr>
            <w:tcW w:w="4158" w:type="dxa"/>
          </w:tcPr>
          <w:p w14:paraId="4333B9C6" w14:textId="77777777" w:rsidR="00925B56" w:rsidRPr="004C3EA7" w:rsidRDefault="00925B56" w:rsidP="00CE35EE">
            <w:pPr>
              <w:widowControl/>
              <w:spacing w:line="276" w:lineRule="auto"/>
            </w:pPr>
            <w:r w:rsidRPr="004C3EA7">
              <w:t>What evidence is there that the adversary is doing research?  Social media? Phishing?</w:t>
            </w:r>
          </w:p>
        </w:tc>
        <w:tc>
          <w:tcPr>
            <w:tcW w:w="3060" w:type="dxa"/>
          </w:tcPr>
          <w:p w14:paraId="326AB467" w14:textId="77777777" w:rsidR="00925B56" w:rsidRPr="004C3EA7" w:rsidRDefault="00925B56" w:rsidP="00CE35EE">
            <w:pPr>
              <w:widowControl/>
              <w:spacing w:line="276" w:lineRule="auto"/>
            </w:pPr>
            <w:r>
              <w:t>TBD</w:t>
            </w:r>
          </w:p>
        </w:tc>
        <w:tc>
          <w:tcPr>
            <w:tcW w:w="2340" w:type="dxa"/>
          </w:tcPr>
          <w:p w14:paraId="4297943B" w14:textId="77777777" w:rsidR="00925B56" w:rsidRPr="004C3EA7" w:rsidRDefault="00925B56" w:rsidP="00CE35EE">
            <w:pPr>
              <w:widowControl/>
              <w:spacing w:line="276" w:lineRule="auto"/>
            </w:pPr>
            <w:r>
              <w:t>TBD</w:t>
            </w:r>
          </w:p>
        </w:tc>
      </w:tr>
      <w:tr w:rsidR="00925B56" w:rsidRPr="004C3EA7" w14:paraId="7674885A" w14:textId="77777777" w:rsidTr="00CE35EE">
        <w:tc>
          <w:tcPr>
            <w:tcW w:w="4158" w:type="dxa"/>
          </w:tcPr>
          <w:p w14:paraId="48352836" w14:textId="77777777" w:rsidR="00925B56" w:rsidRPr="004C3EA7" w:rsidRDefault="00925B56" w:rsidP="00CE35EE">
            <w:pPr>
              <w:widowControl/>
              <w:spacing w:line="276" w:lineRule="auto"/>
            </w:pPr>
            <w:r w:rsidRPr="004C3EA7">
              <w:t>What evidence is there that an artifact (PDF file, Word file, etc.) was weaponized?</w:t>
            </w:r>
          </w:p>
        </w:tc>
        <w:tc>
          <w:tcPr>
            <w:tcW w:w="3060" w:type="dxa"/>
          </w:tcPr>
          <w:p w14:paraId="3A548A2A" w14:textId="77777777" w:rsidR="00925B56" w:rsidRPr="004C3EA7" w:rsidRDefault="00925B56" w:rsidP="00CE35EE">
            <w:pPr>
              <w:widowControl/>
              <w:spacing w:line="276" w:lineRule="auto"/>
            </w:pPr>
            <w:r>
              <w:t>TBD</w:t>
            </w:r>
          </w:p>
        </w:tc>
        <w:tc>
          <w:tcPr>
            <w:tcW w:w="2340" w:type="dxa"/>
          </w:tcPr>
          <w:p w14:paraId="58455256" w14:textId="77777777" w:rsidR="00925B56" w:rsidRPr="004C3EA7" w:rsidRDefault="00925B56" w:rsidP="00CE35EE">
            <w:pPr>
              <w:widowControl/>
              <w:spacing w:line="276" w:lineRule="auto"/>
            </w:pPr>
            <w:r>
              <w:t>TBD</w:t>
            </w:r>
          </w:p>
        </w:tc>
      </w:tr>
      <w:tr w:rsidR="00925B56" w:rsidRPr="004C3EA7" w14:paraId="7BE7A0E0" w14:textId="77777777" w:rsidTr="00CE35EE">
        <w:tc>
          <w:tcPr>
            <w:tcW w:w="4158" w:type="dxa"/>
          </w:tcPr>
          <w:p w14:paraId="6F9FE01A" w14:textId="77777777" w:rsidR="00925B56" w:rsidRPr="004C3EA7" w:rsidRDefault="00925B56" w:rsidP="00CE35EE">
            <w:pPr>
              <w:widowControl/>
              <w:spacing w:line="276" w:lineRule="auto"/>
            </w:pPr>
            <w:r w:rsidRPr="004C3EA7">
              <w:t>How was the weapon transmitted to the target environment?</w:t>
            </w:r>
          </w:p>
        </w:tc>
        <w:tc>
          <w:tcPr>
            <w:tcW w:w="3060" w:type="dxa"/>
          </w:tcPr>
          <w:p w14:paraId="63652594" w14:textId="77777777" w:rsidR="00925B56" w:rsidRPr="004C3EA7" w:rsidRDefault="00925B56" w:rsidP="00CE35EE">
            <w:pPr>
              <w:widowControl/>
              <w:spacing w:line="276" w:lineRule="auto"/>
            </w:pPr>
            <w:r>
              <w:t>TBD</w:t>
            </w:r>
          </w:p>
        </w:tc>
        <w:tc>
          <w:tcPr>
            <w:tcW w:w="2340" w:type="dxa"/>
          </w:tcPr>
          <w:p w14:paraId="3A5F7A67" w14:textId="77777777" w:rsidR="00925B56" w:rsidRPr="004C3EA7" w:rsidRDefault="00925B56" w:rsidP="00CE35EE">
            <w:pPr>
              <w:widowControl/>
              <w:spacing w:line="276" w:lineRule="auto"/>
            </w:pPr>
            <w:r>
              <w:t>TBD</w:t>
            </w:r>
          </w:p>
        </w:tc>
      </w:tr>
      <w:tr w:rsidR="00925B56" w:rsidRPr="004C3EA7" w14:paraId="10872DCE" w14:textId="77777777" w:rsidTr="00CE35EE">
        <w:tc>
          <w:tcPr>
            <w:tcW w:w="4158" w:type="dxa"/>
          </w:tcPr>
          <w:p w14:paraId="00139AF4" w14:textId="77777777" w:rsidR="00925B56" w:rsidRPr="004C3EA7" w:rsidRDefault="00925B56" w:rsidP="00CE35EE">
            <w:pPr>
              <w:widowControl/>
              <w:spacing w:line="276" w:lineRule="auto"/>
            </w:pPr>
            <w:r w:rsidRPr="004C3EA7">
              <w:t>What is the source address? Has it been anonymized?</w:t>
            </w:r>
          </w:p>
        </w:tc>
        <w:tc>
          <w:tcPr>
            <w:tcW w:w="3060" w:type="dxa"/>
          </w:tcPr>
          <w:p w14:paraId="0B2C3393" w14:textId="77777777" w:rsidR="00925B56" w:rsidRPr="004C3EA7" w:rsidRDefault="00925B56" w:rsidP="00CE35EE">
            <w:pPr>
              <w:widowControl/>
              <w:spacing w:line="276" w:lineRule="auto"/>
            </w:pPr>
            <w:r>
              <w:t>TBD</w:t>
            </w:r>
          </w:p>
        </w:tc>
        <w:tc>
          <w:tcPr>
            <w:tcW w:w="2340" w:type="dxa"/>
          </w:tcPr>
          <w:p w14:paraId="39C332F8" w14:textId="77777777" w:rsidR="00925B56" w:rsidRPr="004C3EA7" w:rsidRDefault="00925B56" w:rsidP="00CE35EE">
            <w:pPr>
              <w:widowControl/>
              <w:spacing w:line="276" w:lineRule="auto"/>
            </w:pPr>
            <w:r>
              <w:t>TBD</w:t>
            </w:r>
          </w:p>
        </w:tc>
      </w:tr>
      <w:tr w:rsidR="00925B56" w:rsidRPr="004C3EA7" w14:paraId="331F6AE0" w14:textId="77777777" w:rsidTr="00CE35EE">
        <w:tc>
          <w:tcPr>
            <w:tcW w:w="4158" w:type="dxa"/>
          </w:tcPr>
          <w:p w14:paraId="2CF4F3B5" w14:textId="77777777" w:rsidR="00925B56" w:rsidRPr="004C3EA7" w:rsidRDefault="00925B56" w:rsidP="00CE35EE">
            <w:pPr>
              <w:widowControl/>
              <w:spacing w:line="276" w:lineRule="auto"/>
            </w:pPr>
            <w:r w:rsidRPr="004C3EA7">
              <w:t>Are there encrypted files that should not be encrypted?</w:t>
            </w:r>
          </w:p>
        </w:tc>
        <w:tc>
          <w:tcPr>
            <w:tcW w:w="3060" w:type="dxa"/>
          </w:tcPr>
          <w:p w14:paraId="4C361F40" w14:textId="77777777" w:rsidR="00925B56" w:rsidRPr="004C3EA7" w:rsidRDefault="00925B56" w:rsidP="00CE35EE">
            <w:pPr>
              <w:widowControl/>
              <w:spacing w:line="276" w:lineRule="auto"/>
            </w:pPr>
            <w:r>
              <w:t>TBD</w:t>
            </w:r>
          </w:p>
        </w:tc>
        <w:tc>
          <w:tcPr>
            <w:tcW w:w="2340" w:type="dxa"/>
          </w:tcPr>
          <w:p w14:paraId="5359B271" w14:textId="77777777" w:rsidR="00925B56" w:rsidRPr="004C3EA7" w:rsidRDefault="00925B56" w:rsidP="00CE35EE">
            <w:pPr>
              <w:widowControl/>
              <w:spacing w:line="276" w:lineRule="auto"/>
            </w:pPr>
            <w:r>
              <w:t>TBD</w:t>
            </w:r>
          </w:p>
        </w:tc>
      </w:tr>
      <w:tr w:rsidR="00925B56" w:rsidRPr="004C3EA7" w14:paraId="6D80D25A" w14:textId="77777777" w:rsidTr="00CE35EE">
        <w:tc>
          <w:tcPr>
            <w:tcW w:w="4158" w:type="dxa"/>
          </w:tcPr>
          <w:p w14:paraId="5753D456" w14:textId="77777777" w:rsidR="00925B56" w:rsidRPr="004C3EA7" w:rsidRDefault="00925B56" w:rsidP="00CE35EE">
            <w:pPr>
              <w:widowControl/>
              <w:spacing w:line="276" w:lineRule="auto"/>
            </w:pPr>
            <w:r w:rsidRPr="004C3EA7">
              <w:t>Was the weapon triggered? What was its target?</w:t>
            </w:r>
          </w:p>
        </w:tc>
        <w:tc>
          <w:tcPr>
            <w:tcW w:w="3060" w:type="dxa"/>
          </w:tcPr>
          <w:p w14:paraId="4605D397" w14:textId="77777777" w:rsidR="00925B56" w:rsidRPr="004C3EA7" w:rsidRDefault="00925B56" w:rsidP="00CE35EE">
            <w:pPr>
              <w:widowControl/>
              <w:spacing w:line="276" w:lineRule="auto"/>
            </w:pPr>
            <w:r>
              <w:t>TBD</w:t>
            </w:r>
          </w:p>
        </w:tc>
        <w:tc>
          <w:tcPr>
            <w:tcW w:w="2340" w:type="dxa"/>
          </w:tcPr>
          <w:p w14:paraId="6893145B" w14:textId="77777777" w:rsidR="00925B56" w:rsidRPr="004C3EA7" w:rsidRDefault="00925B56" w:rsidP="00CE35EE">
            <w:pPr>
              <w:widowControl/>
              <w:spacing w:line="276" w:lineRule="auto"/>
            </w:pPr>
            <w:r>
              <w:t>TBD</w:t>
            </w:r>
          </w:p>
        </w:tc>
      </w:tr>
      <w:tr w:rsidR="00925B56" w:rsidRPr="004C3EA7" w14:paraId="6A78DA57" w14:textId="77777777" w:rsidTr="00CE35EE">
        <w:tc>
          <w:tcPr>
            <w:tcW w:w="4158" w:type="dxa"/>
          </w:tcPr>
          <w:p w14:paraId="0212CB19" w14:textId="77777777" w:rsidR="00925B56" w:rsidRPr="004C3EA7" w:rsidRDefault="00925B56" w:rsidP="00CE35EE">
            <w:pPr>
              <w:widowControl/>
              <w:spacing w:line="276" w:lineRule="auto"/>
            </w:pPr>
            <w:r w:rsidRPr="004C3EA7">
              <w:t>What evidence is there of a back door or remote access trojan?</w:t>
            </w:r>
          </w:p>
        </w:tc>
        <w:tc>
          <w:tcPr>
            <w:tcW w:w="3060" w:type="dxa"/>
          </w:tcPr>
          <w:p w14:paraId="26063010" w14:textId="77777777" w:rsidR="00925B56" w:rsidRPr="004C3EA7" w:rsidRDefault="00925B56" w:rsidP="00CE35EE">
            <w:pPr>
              <w:widowControl/>
              <w:spacing w:line="276" w:lineRule="auto"/>
            </w:pPr>
            <w:r>
              <w:t>TBD</w:t>
            </w:r>
          </w:p>
        </w:tc>
        <w:tc>
          <w:tcPr>
            <w:tcW w:w="2340" w:type="dxa"/>
          </w:tcPr>
          <w:p w14:paraId="566E8F35" w14:textId="77777777" w:rsidR="00925B56" w:rsidRPr="004C3EA7" w:rsidRDefault="00925B56" w:rsidP="00CE35EE">
            <w:pPr>
              <w:widowControl/>
              <w:spacing w:line="276" w:lineRule="auto"/>
            </w:pPr>
            <w:r>
              <w:t>TBD</w:t>
            </w:r>
          </w:p>
        </w:tc>
      </w:tr>
      <w:tr w:rsidR="00925B56" w:rsidRPr="004C3EA7" w14:paraId="73405266" w14:textId="77777777" w:rsidTr="00CE35EE">
        <w:tc>
          <w:tcPr>
            <w:tcW w:w="4158" w:type="dxa"/>
          </w:tcPr>
          <w:p w14:paraId="395D1FA3" w14:textId="77777777" w:rsidR="00925B56" w:rsidRPr="004C3EA7" w:rsidRDefault="00925B56" w:rsidP="00CE35EE">
            <w:pPr>
              <w:widowControl/>
              <w:spacing w:line="276" w:lineRule="auto"/>
            </w:pPr>
            <w:r w:rsidRPr="004C3EA7">
              <w:t>What evidence is there of suspicious activity of users with privileged accounts</w:t>
            </w:r>
            <w:r>
              <w:t>?</w:t>
            </w:r>
            <w:r w:rsidRPr="004C3EA7">
              <w:t xml:space="preserve"> </w:t>
            </w:r>
          </w:p>
        </w:tc>
        <w:tc>
          <w:tcPr>
            <w:tcW w:w="3060" w:type="dxa"/>
          </w:tcPr>
          <w:p w14:paraId="4493767F" w14:textId="77777777" w:rsidR="00925B56" w:rsidRPr="004C3EA7" w:rsidRDefault="00925B56" w:rsidP="00CE35EE">
            <w:pPr>
              <w:widowControl/>
              <w:spacing w:line="276" w:lineRule="auto"/>
            </w:pPr>
            <w:r>
              <w:t>TBD</w:t>
            </w:r>
          </w:p>
        </w:tc>
        <w:tc>
          <w:tcPr>
            <w:tcW w:w="2340" w:type="dxa"/>
          </w:tcPr>
          <w:p w14:paraId="6835CE82" w14:textId="77777777" w:rsidR="00925B56" w:rsidRPr="004C3EA7" w:rsidRDefault="00925B56" w:rsidP="00CE35EE">
            <w:pPr>
              <w:widowControl/>
              <w:spacing w:line="276" w:lineRule="auto"/>
            </w:pPr>
            <w:r>
              <w:t>TBD</w:t>
            </w:r>
          </w:p>
        </w:tc>
      </w:tr>
      <w:tr w:rsidR="00925B56" w:rsidRPr="004C3EA7" w14:paraId="11CB6531" w14:textId="77777777" w:rsidTr="00CE35EE">
        <w:tc>
          <w:tcPr>
            <w:tcW w:w="4158" w:type="dxa"/>
          </w:tcPr>
          <w:p w14:paraId="05A618F5" w14:textId="77777777" w:rsidR="00925B56" w:rsidRPr="004C3EA7" w:rsidRDefault="00925B56" w:rsidP="00CE35EE">
            <w:pPr>
              <w:widowControl/>
              <w:spacing w:line="276" w:lineRule="auto"/>
            </w:pPr>
            <w:r w:rsidRPr="004C3EA7">
              <w:t>What evidence is there of credential escalation or unauthorized credential usage?</w:t>
            </w:r>
          </w:p>
        </w:tc>
        <w:tc>
          <w:tcPr>
            <w:tcW w:w="3060" w:type="dxa"/>
          </w:tcPr>
          <w:p w14:paraId="501812E5" w14:textId="77777777" w:rsidR="00925B56" w:rsidRPr="004C3EA7" w:rsidRDefault="00925B56" w:rsidP="00CE35EE">
            <w:pPr>
              <w:widowControl/>
              <w:spacing w:line="276" w:lineRule="auto"/>
            </w:pPr>
            <w:r>
              <w:t>TBD</w:t>
            </w:r>
          </w:p>
        </w:tc>
        <w:tc>
          <w:tcPr>
            <w:tcW w:w="2340" w:type="dxa"/>
          </w:tcPr>
          <w:p w14:paraId="4699B541" w14:textId="77777777" w:rsidR="00925B56" w:rsidRPr="004C3EA7" w:rsidRDefault="00925B56" w:rsidP="00CE35EE">
            <w:pPr>
              <w:widowControl/>
              <w:spacing w:line="276" w:lineRule="auto"/>
            </w:pPr>
            <w:r>
              <w:t>TBD</w:t>
            </w:r>
          </w:p>
        </w:tc>
      </w:tr>
      <w:tr w:rsidR="00925B56" w:rsidRPr="004C3EA7" w14:paraId="073D3649" w14:textId="77777777" w:rsidTr="00CE35EE">
        <w:tc>
          <w:tcPr>
            <w:tcW w:w="4158" w:type="dxa"/>
          </w:tcPr>
          <w:p w14:paraId="42F5D5D4" w14:textId="77777777" w:rsidR="00925B56" w:rsidRPr="004C3EA7" w:rsidRDefault="00925B56" w:rsidP="00CE35EE">
            <w:pPr>
              <w:widowControl/>
              <w:spacing w:line="276" w:lineRule="auto"/>
            </w:pPr>
            <w:r w:rsidRPr="004C3EA7">
              <w:t>What evidence is there of lateral movement?</w:t>
            </w:r>
          </w:p>
        </w:tc>
        <w:tc>
          <w:tcPr>
            <w:tcW w:w="3060" w:type="dxa"/>
          </w:tcPr>
          <w:p w14:paraId="6C18F55D" w14:textId="77777777" w:rsidR="00925B56" w:rsidRPr="004C3EA7" w:rsidRDefault="00925B56" w:rsidP="00CE35EE">
            <w:pPr>
              <w:widowControl/>
              <w:spacing w:line="276" w:lineRule="auto"/>
            </w:pPr>
            <w:r>
              <w:t>TBD</w:t>
            </w:r>
          </w:p>
        </w:tc>
        <w:tc>
          <w:tcPr>
            <w:tcW w:w="2340" w:type="dxa"/>
          </w:tcPr>
          <w:p w14:paraId="1489D857" w14:textId="77777777" w:rsidR="00925B56" w:rsidRPr="004C3EA7" w:rsidRDefault="00925B56" w:rsidP="00CE35EE">
            <w:pPr>
              <w:widowControl/>
              <w:spacing w:line="276" w:lineRule="auto"/>
            </w:pPr>
            <w:r>
              <w:t>TBD</w:t>
            </w:r>
          </w:p>
        </w:tc>
      </w:tr>
      <w:tr w:rsidR="00925B56" w:rsidRPr="004C3EA7" w14:paraId="38D58DBF" w14:textId="77777777" w:rsidTr="00CE35EE">
        <w:tc>
          <w:tcPr>
            <w:tcW w:w="4158" w:type="dxa"/>
          </w:tcPr>
          <w:p w14:paraId="5258363B" w14:textId="77777777" w:rsidR="00925B56" w:rsidRPr="004C3EA7" w:rsidRDefault="00925B56" w:rsidP="00CE35EE">
            <w:pPr>
              <w:widowControl/>
              <w:spacing w:line="276" w:lineRule="auto"/>
            </w:pPr>
            <w:r w:rsidRPr="004C3EA7">
              <w:t xml:space="preserve">What evidence is there of the weapon beaconing signals as part of a </w:t>
            </w:r>
            <w:proofErr w:type="gramStart"/>
            <w:r w:rsidRPr="004C3EA7">
              <w:t>command and control</w:t>
            </w:r>
            <w:proofErr w:type="gramEnd"/>
            <w:r w:rsidRPr="004C3EA7">
              <w:t xml:space="preserve"> network?</w:t>
            </w:r>
          </w:p>
        </w:tc>
        <w:tc>
          <w:tcPr>
            <w:tcW w:w="3060" w:type="dxa"/>
          </w:tcPr>
          <w:p w14:paraId="1D25599D" w14:textId="77777777" w:rsidR="00925B56" w:rsidRPr="004C3EA7" w:rsidRDefault="00925B56" w:rsidP="00CE35EE">
            <w:pPr>
              <w:widowControl/>
              <w:spacing w:line="276" w:lineRule="auto"/>
            </w:pPr>
            <w:r>
              <w:t>TBD</w:t>
            </w:r>
          </w:p>
        </w:tc>
        <w:tc>
          <w:tcPr>
            <w:tcW w:w="2340" w:type="dxa"/>
          </w:tcPr>
          <w:p w14:paraId="3CEBB041" w14:textId="77777777" w:rsidR="00925B56" w:rsidRPr="004C3EA7" w:rsidRDefault="00925B56" w:rsidP="00CE35EE">
            <w:pPr>
              <w:widowControl/>
              <w:spacing w:line="276" w:lineRule="auto"/>
            </w:pPr>
            <w:r>
              <w:t>TBD</w:t>
            </w:r>
          </w:p>
        </w:tc>
      </w:tr>
    </w:tbl>
    <w:p w14:paraId="123A6ED1" w14:textId="77777777" w:rsidR="00925B56" w:rsidRDefault="00925B56" w:rsidP="00925B56">
      <w:pPr>
        <w:rPr>
          <w:b/>
          <w:bCs/>
        </w:rPr>
      </w:pPr>
    </w:p>
    <w:p w14:paraId="07EB9039" w14:textId="77777777" w:rsidR="00925B56" w:rsidRDefault="00925B56" w:rsidP="00925B56">
      <w:pPr>
        <w:rPr>
          <w:b/>
          <w:bCs/>
        </w:rPr>
      </w:pPr>
    </w:p>
    <w:p w14:paraId="2AD04C69" w14:textId="77777777" w:rsidR="00925B56" w:rsidRDefault="00925B56" w:rsidP="00925B56">
      <w:pPr>
        <w:rPr>
          <w:b/>
          <w:bCs/>
        </w:rPr>
      </w:pPr>
    </w:p>
    <w:p w14:paraId="4D24B077" w14:textId="730891DA" w:rsidR="00925B56" w:rsidRPr="00925B56" w:rsidRDefault="00925B56" w:rsidP="00925B56">
      <w:pPr>
        <w:rPr>
          <w:b/>
          <w:bCs/>
        </w:rPr>
      </w:pPr>
      <w:r w:rsidRPr="00925B56">
        <w:rPr>
          <w:b/>
          <w:bCs/>
        </w:rPr>
        <w:t>7.2 Examination Considerations</w:t>
      </w:r>
    </w:p>
    <w:p w14:paraId="13929256" w14:textId="77777777" w:rsidR="00925B56" w:rsidRPr="00925B56" w:rsidRDefault="00925B56" w:rsidP="00925B56">
      <w:r w:rsidRPr="00925B56">
        <w:t>Analysts examine evidence using available tools, techniques, and procedures, considering adversary tools, tactics, and procedures (TTPs) and known indicators of compromise.</w:t>
      </w:r>
    </w:p>
    <w:p w14:paraId="79049D31" w14:textId="77777777" w:rsidR="00925B56" w:rsidRPr="00925B56" w:rsidRDefault="00925B56" w:rsidP="00925B56">
      <w:r w:rsidRPr="00925B56">
        <w:rPr>
          <w:i/>
          <w:iCs/>
        </w:rPr>
        <w:t>(Examination table retained with TBD placeholders to reflect evolving toolsets.)</w:t>
      </w:r>
    </w:p>
    <w:p w14:paraId="410F6A98" w14:textId="77777777" w:rsidR="00925B56" w:rsidRPr="00925B56" w:rsidRDefault="00925B56" w:rsidP="00925B56">
      <w:pPr>
        <w:rPr>
          <w:b/>
          <w:bCs/>
        </w:rPr>
      </w:pPr>
      <w:r w:rsidRPr="00925B56">
        <w:rPr>
          <w:b/>
          <w:bCs/>
        </w:rPr>
        <w:t>7.3 Documentation and Shift Continuity</w:t>
      </w:r>
    </w:p>
    <w:p w14:paraId="0779248F" w14:textId="77777777" w:rsidR="00925B56" w:rsidRPr="00925B56" w:rsidRDefault="00925B56" w:rsidP="00925B56">
      <w:r w:rsidRPr="00925B56">
        <w:t>All examination activities shall be documented in RT. Examination efforts continue across shifts with formal turnover until the phase is complete.</w:t>
      </w:r>
    </w:p>
    <w:p w14:paraId="4D7C4589" w14:textId="77777777" w:rsidR="00925B56" w:rsidRPr="00925B56" w:rsidRDefault="00925B56" w:rsidP="00925B56">
      <w:r w:rsidRPr="00925B56">
        <w:pict w14:anchorId="7DC17EA9">
          <v:rect id="_x0000_i1092" style="width:0;height:1.5pt" o:hralign="center" o:hrstd="t" o:hr="t" fillcolor="#a0a0a0" stroked="f"/>
        </w:pict>
      </w:r>
    </w:p>
    <w:p w14:paraId="33846C77" w14:textId="77777777" w:rsidR="00925B56" w:rsidRPr="00925B56" w:rsidRDefault="00925B56" w:rsidP="00925B56">
      <w:pPr>
        <w:rPr>
          <w:b/>
          <w:bCs/>
        </w:rPr>
      </w:pPr>
      <w:r w:rsidRPr="00925B56">
        <w:rPr>
          <w:b/>
          <w:bCs/>
        </w:rPr>
        <w:t>8. Analysis</w:t>
      </w:r>
    </w:p>
    <w:p w14:paraId="7A41E6F2" w14:textId="77777777" w:rsidR="00925B56" w:rsidRPr="00925B56" w:rsidRDefault="00925B56" w:rsidP="00925B56">
      <w:r w:rsidRPr="00925B56">
        <w:lastRenderedPageBreak/>
        <w:t>During the Analysis phase, analysts determine the significance and impact of validated findings. Analysis synthesizes examination results to identify relationships among systems, users, events, and adversary activity.</w:t>
      </w:r>
    </w:p>
    <w:p w14:paraId="4D45CA53" w14:textId="77777777" w:rsidR="00925B56" w:rsidRPr="00925B56" w:rsidRDefault="00925B56" w:rsidP="00925B56">
      <w:r w:rsidRPr="00925B56">
        <w:t>Analysts assess:</w:t>
      </w:r>
    </w:p>
    <w:p w14:paraId="096FA819" w14:textId="77777777" w:rsidR="00925B56" w:rsidRPr="00925B56" w:rsidRDefault="00925B56" w:rsidP="00925B56">
      <w:pPr>
        <w:numPr>
          <w:ilvl w:val="0"/>
          <w:numId w:val="9"/>
        </w:numPr>
      </w:pPr>
      <w:r w:rsidRPr="00925B56">
        <w:t>The nature and scope of the threat</w:t>
      </w:r>
    </w:p>
    <w:p w14:paraId="1B9087AC" w14:textId="77777777" w:rsidR="00925B56" w:rsidRPr="00925B56" w:rsidRDefault="00925B56" w:rsidP="00925B56">
      <w:pPr>
        <w:numPr>
          <w:ilvl w:val="0"/>
          <w:numId w:val="9"/>
        </w:numPr>
      </w:pPr>
      <w:r w:rsidRPr="00925B56">
        <w:t xml:space="preserve">Impact </w:t>
      </w:r>
      <w:proofErr w:type="gramStart"/>
      <w:r w:rsidRPr="00925B56">
        <w:t>to</w:t>
      </w:r>
      <w:proofErr w:type="gramEnd"/>
      <w:r w:rsidRPr="00925B56">
        <w:t xml:space="preserve"> CSA operations, data, and mission</w:t>
      </w:r>
    </w:p>
    <w:p w14:paraId="12B19AFE" w14:textId="77777777" w:rsidR="00925B56" w:rsidRPr="00925B56" w:rsidRDefault="00925B56" w:rsidP="00925B56">
      <w:pPr>
        <w:numPr>
          <w:ilvl w:val="0"/>
          <w:numId w:val="9"/>
        </w:numPr>
      </w:pPr>
      <w:r w:rsidRPr="00925B56">
        <w:t>Evidence of persistence, lateral movement, or exfiltration</w:t>
      </w:r>
    </w:p>
    <w:p w14:paraId="4293BD04" w14:textId="77777777" w:rsidR="00925B56" w:rsidRPr="00925B56" w:rsidRDefault="00925B56" w:rsidP="00925B56">
      <w:r w:rsidRPr="00925B56">
        <w:t>Analysis must be methodical and defensible, supporting conclusions that can be clearly communicated to stakeholders, including CSA leadership and system owners.</w:t>
      </w:r>
    </w:p>
    <w:p w14:paraId="38C72BE1" w14:textId="77777777" w:rsidR="00925B56" w:rsidRPr="00925B56" w:rsidRDefault="00925B56" w:rsidP="00925B56">
      <w:pPr>
        <w:rPr>
          <w:b/>
          <w:bCs/>
        </w:rPr>
      </w:pPr>
      <w:r w:rsidRPr="00925B56">
        <w:rPr>
          <w:b/>
          <w:bCs/>
        </w:rPr>
        <w:t>8.1 Analysis Considerations</w:t>
      </w:r>
    </w:p>
    <w:p w14:paraId="4BEB2005" w14:textId="77777777" w:rsidR="00925B56" w:rsidRPr="00925B56" w:rsidRDefault="00925B56" w:rsidP="00925B56">
      <w:pPr>
        <w:numPr>
          <w:ilvl w:val="0"/>
          <w:numId w:val="10"/>
        </w:numPr>
      </w:pPr>
      <w:r w:rsidRPr="00925B56">
        <w:t>Attribution indicators (e.g., IP ownership, infrastructure reuse)</w:t>
      </w:r>
    </w:p>
    <w:p w14:paraId="16382C05" w14:textId="77777777" w:rsidR="00925B56" w:rsidRPr="00925B56" w:rsidRDefault="00925B56" w:rsidP="00925B56">
      <w:pPr>
        <w:numPr>
          <w:ilvl w:val="0"/>
          <w:numId w:val="10"/>
        </w:numPr>
      </w:pPr>
      <w:r w:rsidRPr="00925B56">
        <w:t>Threat actor classification (e.g., criminal, hacktivist, nation-state, insider)</w:t>
      </w:r>
    </w:p>
    <w:p w14:paraId="03FD8B3F" w14:textId="77777777" w:rsidR="00925B56" w:rsidRPr="00925B56" w:rsidRDefault="00925B56" w:rsidP="00925B56">
      <w:pPr>
        <w:numPr>
          <w:ilvl w:val="0"/>
          <w:numId w:val="10"/>
        </w:numPr>
      </w:pPr>
      <w:r w:rsidRPr="00925B56">
        <w:t>Weapon capability and sophistication</w:t>
      </w:r>
    </w:p>
    <w:p w14:paraId="30D391AE" w14:textId="77777777" w:rsidR="00925B56" w:rsidRPr="00925B56" w:rsidRDefault="00925B56" w:rsidP="00925B56">
      <w:pPr>
        <w:numPr>
          <w:ilvl w:val="0"/>
          <w:numId w:val="10"/>
        </w:numPr>
      </w:pPr>
      <w:r w:rsidRPr="00925B56">
        <w:t>Organizational impact and risk</w:t>
      </w:r>
    </w:p>
    <w:p w14:paraId="3F8896FA" w14:textId="77777777" w:rsidR="00925B56" w:rsidRPr="00925B56" w:rsidRDefault="00925B56" w:rsidP="00925B56">
      <w:pPr>
        <w:rPr>
          <w:b/>
          <w:bCs/>
        </w:rPr>
      </w:pPr>
      <w:r w:rsidRPr="00925B56">
        <w:rPr>
          <w:b/>
          <w:bCs/>
        </w:rPr>
        <w:t>8.2 Documentation and Shift Continuity</w:t>
      </w:r>
    </w:p>
    <w:p w14:paraId="7614DBB2" w14:textId="77777777" w:rsidR="00925B56" w:rsidRPr="00925B56" w:rsidRDefault="00925B56" w:rsidP="00925B56">
      <w:r w:rsidRPr="00925B56">
        <w:t>All analysis activities shall be documented in RT and transitioned across shifts until complete.</w:t>
      </w:r>
    </w:p>
    <w:p w14:paraId="193D2491" w14:textId="77777777" w:rsidR="00925B56" w:rsidRPr="00925B56" w:rsidRDefault="00925B56" w:rsidP="00925B56">
      <w:r w:rsidRPr="00925B56">
        <w:pict w14:anchorId="032513E8">
          <v:rect id="_x0000_i1093" style="width:0;height:1.5pt" o:hralign="center" o:hrstd="t" o:hr="t" fillcolor="#a0a0a0" stroked="f"/>
        </w:pict>
      </w:r>
    </w:p>
    <w:p w14:paraId="59B08D8A" w14:textId="77777777" w:rsidR="00925B56" w:rsidRPr="00925B56" w:rsidRDefault="00925B56" w:rsidP="00925B56">
      <w:pPr>
        <w:rPr>
          <w:b/>
          <w:bCs/>
        </w:rPr>
      </w:pPr>
      <w:r w:rsidRPr="00925B56">
        <w:rPr>
          <w:b/>
          <w:bCs/>
        </w:rPr>
        <w:t>9. Reporting</w:t>
      </w:r>
    </w:p>
    <w:p w14:paraId="6532D02E" w14:textId="77777777" w:rsidR="00925B56" w:rsidRPr="00925B56" w:rsidRDefault="00925B56" w:rsidP="00925B56">
      <w:r w:rsidRPr="00925B56">
        <w:t>The Reporting phase documents investigative findings and communicates results to stakeholders. Analysts shall clearly describe investigative actions, tools used, and rationale for conclusions.</w:t>
      </w:r>
    </w:p>
    <w:p w14:paraId="696967E0" w14:textId="77777777" w:rsidR="00925B56" w:rsidRPr="00925B56" w:rsidRDefault="00925B56" w:rsidP="00925B56">
      <w:r w:rsidRPr="00925B56">
        <w:t>Reports must include:</w:t>
      </w:r>
    </w:p>
    <w:p w14:paraId="0BC2DD30" w14:textId="77777777" w:rsidR="00925B56" w:rsidRPr="00925B56" w:rsidRDefault="00925B56" w:rsidP="00925B56">
      <w:pPr>
        <w:numPr>
          <w:ilvl w:val="0"/>
          <w:numId w:val="11"/>
        </w:numPr>
      </w:pPr>
      <w:r w:rsidRPr="00925B56">
        <w:t>Summary of findings</w:t>
      </w:r>
    </w:p>
    <w:p w14:paraId="4DAC21A0" w14:textId="77777777" w:rsidR="00925B56" w:rsidRPr="00925B56" w:rsidRDefault="00925B56" w:rsidP="00925B56">
      <w:pPr>
        <w:numPr>
          <w:ilvl w:val="0"/>
          <w:numId w:val="11"/>
        </w:numPr>
      </w:pPr>
      <w:r w:rsidRPr="00925B56">
        <w:t>Supporting evidence</w:t>
      </w:r>
    </w:p>
    <w:p w14:paraId="5F92D0E3" w14:textId="77777777" w:rsidR="00925B56" w:rsidRPr="00925B56" w:rsidRDefault="00925B56" w:rsidP="00925B56">
      <w:pPr>
        <w:numPr>
          <w:ilvl w:val="0"/>
          <w:numId w:val="11"/>
        </w:numPr>
      </w:pPr>
      <w:r w:rsidRPr="00925B56">
        <w:t>Assessment of uncertainty or alternative explanations</w:t>
      </w:r>
    </w:p>
    <w:p w14:paraId="1E648589" w14:textId="77777777" w:rsidR="00925B56" w:rsidRPr="00925B56" w:rsidRDefault="00925B56" w:rsidP="00925B56">
      <w:pPr>
        <w:numPr>
          <w:ilvl w:val="0"/>
          <w:numId w:val="11"/>
        </w:numPr>
      </w:pPr>
      <w:r w:rsidRPr="00925B56">
        <w:t>Recommended follow-up actions and process improvements</w:t>
      </w:r>
    </w:p>
    <w:p w14:paraId="11638FEC" w14:textId="77777777" w:rsidR="00925B56" w:rsidRPr="00925B56" w:rsidRDefault="00925B56" w:rsidP="00925B56">
      <w:r w:rsidRPr="00925B56">
        <w:lastRenderedPageBreak/>
        <w:t>All reports shall be entered into RT and summarized in weekly reporting. Analysts must be prepared to support follow-on inquiries from leadership.</w:t>
      </w:r>
    </w:p>
    <w:p w14:paraId="3394F839" w14:textId="77777777" w:rsidR="00925B56" w:rsidRPr="00925B56" w:rsidRDefault="00925B56" w:rsidP="00925B56">
      <w:pPr>
        <w:rPr>
          <w:b/>
          <w:bCs/>
        </w:rPr>
      </w:pPr>
      <w:r w:rsidRPr="00925B56">
        <w:rPr>
          <w:b/>
          <w:bCs/>
        </w:rPr>
        <w:t>9.1 Risk-Informed Reporting Elements</w:t>
      </w:r>
    </w:p>
    <w:p w14:paraId="750371FA" w14:textId="77777777" w:rsidR="00925B56" w:rsidRPr="00925B56" w:rsidRDefault="00925B56" w:rsidP="00925B56">
      <w:r w:rsidRPr="00925B56">
        <w:t>Final reports should incorporate the following elements aligned with NIST SP 800-30:</w:t>
      </w:r>
    </w:p>
    <w:p w14:paraId="20388AC5" w14:textId="77777777" w:rsidR="00925B56" w:rsidRPr="00925B56" w:rsidRDefault="00925B56" w:rsidP="00925B56">
      <w:pPr>
        <w:numPr>
          <w:ilvl w:val="0"/>
          <w:numId w:val="12"/>
        </w:numPr>
      </w:pPr>
      <w:r w:rsidRPr="00925B56">
        <w:t>Threat Event</w:t>
      </w:r>
    </w:p>
    <w:p w14:paraId="3430604A" w14:textId="77777777" w:rsidR="00925B56" w:rsidRPr="00925B56" w:rsidRDefault="00925B56" w:rsidP="00925B56">
      <w:pPr>
        <w:numPr>
          <w:ilvl w:val="0"/>
          <w:numId w:val="12"/>
        </w:numPr>
      </w:pPr>
      <w:r w:rsidRPr="00925B56">
        <w:t>Threat Sources</w:t>
      </w:r>
    </w:p>
    <w:p w14:paraId="3EEABD9E" w14:textId="77777777" w:rsidR="00925B56" w:rsidRPr="00925B56" w:rsidRDefault="00925B56" w:rsidP="00925B56">
      <w:pPr>
        <w:numPr>
          <w:ilvl w:val="0"/>
          <w:numId w:val="12"/>
        </w:numPr>
      </w:pPr>
      <w:r w:rsidRPr="00925B56">
        <w:t>Capability</w:t>
      </w:r>
    </w:p>
    <w:p w14:paraId="4E791BDB" w14:textId="77777777" w:rsidR="00925B56" w:rsidRPr="00925B56" w:rsidRDefault="00925B56" w:rsidP="00925B56">
      <w:pPr>
        <w:numPr>
          <w:ilvl w:val="0"/>
          <w:numId w:val="12"/>
        </w:numPr>
      </w:pPr>
      <w:r w:rsidRPr="00925B56">
        <w:t>Intent</w:t>
      </w:r>
    </w:p>
    <w:p w14:paraId="172E8903" w14:textId="77777777" w:rsidR="00925B56" w:rsidRPr="00925B56" w:rsidRDefault="00925B56" w:rsidP="00925B56">
      <w:pPr>
        <w:numPr>
          <w:ilvl w:val="0"/>
          <w:numId w:val="12"/>
        </w:numPr>
      </w:pPr>
      <w:r w:rsidRPr="00925B56">
        <w:t>Targeting</w:t>
      </w:r>
    </w:p>
    <w:p w14:paraId="6F4AF381" w14:textId="77777777" w:rsidR="00925B56" w:rsidRPr="00925B56" w:rsidRDefault="00925B56" w:rsidP="00925B56">
      <w:pPr>
        <w:numPr>
          <w:ilvl w:val="0"/>
          <w:numId w:val="12"/>
        </w:numPr>
      </w:pPr>
      <w:r w:rsidRPr="00925B56">
        <w:t>Relevance</w:t>
      </w:r>
    </w:p>
    <w:p w14:paraId="296C9DA4" w14:textId="77777777" w:rsidR="00925B56" w:rsidRPr="00925B56" w:rsidRDefault="00925B56" w:rsidP="00925B56">
      <w:pPr>
        <w:numPr>
          <w:ilvl w:val="0"/>
          <w:numId w:val="12"/>
        </w:numPr>
      </w:pPr>
      <w:r w:rsidRPr="00925B56">
        <w:t>Likelihood</w:t>
      </w:r>
    </w:p>
    <w:p w14:paraId="46E86722" w14:textId="77777777" w:rsidR="00925B56" w:rsidRPr="00925B56" w:rsidRDefault="00925B56" w:rsidP="00925B56">
      <w:pPr>
        <w:numPr>
          <w:ilvl w:val="0"/>
          <w:numId w:val="12"/>
        </w:numPr>
      </w:pPr>
      <w:r w:rsidRPr="00925B56">
        <w:t>Vulnerabilities and Predisposing Conditions</w:t>
      </w:r>
    </w:p>
    <w:p w14:paraId="5CC952ED" w14:textId="77777777" w:rsidR="00925B56" w:rsidRPr="00925B56" w:rsidRDefault="00925B56" w:rsidP="00925B56">
      <w:pPr>
        <w:numPr>
          <w:ilvl w:val="0"/>
          <w:numId w:val="12"/>
        </w:numPr>
      </w:pPr>
      <w:r w:rsidRPr="00925B56">
        <w:t>Severity and Pervasiveness</w:t>
      </w:r>
    </w:p>
    <w:p w14:paraId="327F2431" w14:textId="77777777" w:rsidR="00925B56" w:rsidRPr="00925B56" w:rsidRDefault="00925B56" w:rsidP="00925B56">
      <w:pPr>
        <w:numPr>
          <w:ilvl w:val="0"/>
          <w:numId w:val="12"/>
        </w:numPr>
      </w:pPr>
      <w:r w:rsidRPr="00925B56">
        <w:t>Likelihood of Successful Attack</w:t>
      </w:r>
    </w:p>
    <w:p w14:paraId="529C3A53" w14:textId="77777777" w:rsidR="00925B56" w:rsidRPr="00925B56" w:rsidRDefault="00925B56" w:rsidP="00925B56">
      <w:r w:rsidRPr="00925B56">
        <w:pict w14:anchorId="40795E28">
          <v:rect id="_x0000_i1094" style="width:0;height:1.5pt" o:hralign="center" o:hrstd="t" o:hr="t" fillcolor="#a0a0a0" stroked="f"/>
        </w:pict>
      </w:r>
    </w:p>
    <w:p w14:paraId="4E7669C7" w14:textId="77777777" w:rsidR="00925B56" w:rsidRPr="00925B56" w:rsidRDefault="00925B56" w:rsidP="00C048A1">
      <w:pPr>
        <w:jc w:val="center"/>
      </w:pPr>
      <w:r w:rsidRPr="00925B56">
        <w:rPr>
          <w:b/>
          <w:bCs/>
        </w:rPr>
        <w:t>End of Standard Operating Procedure</w:t>
      </w:r>
    </w:p>
    <w:p w14:paraId="016A0F76" w14:textId="77777777" w:rsidR="00925B56" w:rsidRDefault="00925B56"/>
    <w:sectPr w:rsidR="00925B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16AD" w14:textId="77777777" w:rsidR="00690614" w:rsidRDefault="00690614" w:rsidP="00925B56">
      <w:pPr>
        <w:spacing w:after="0" w:line="240" w:lineRule="auto"/>
      </w:pPr>
      <w:r>
        <w:separator/>
      </w:r>
    </w:p>
  </w:endnote>
  <w:endnote w:type="continuationSeparator" w:id="0">
    <w:p w14:paraId="6D64FF11" w14:textId="77777777" w:rsidR="00690614" w:rsidRDefault="00690614" w:rsidP="0092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F6B" w14:textId="77777777" w:rsidR="00925B56" w:rsidRPr="00756F2B" w:rsidRDefault="00925B56" w:rsidP="00925B56">
    <w:pPr>
      <w:pStyle w:val="Footer"/>
      <w:pBdr>
        <w:top w:val="single" w:sz="4" w:space="1" w:color="auto"/>
      </w:pBdr>
      <w:rPr>
        <w:rStyle w:val="PageNumber"/>
        <w:sz w:val="20"/>
        <w:szCs w:val="20"/>
      </w:rPr>
    </w:pPr>
    <w:r>
      <w:rPr>
        <w:sz w:val="20"/>
        <w:szCs w:val="20"/>
        <w:lang w:val="fr-FR"/>
      </w:rPr>
      <w:t>CITA-XXX</w:t>
    </w:r>
    <w:r w:rsidRPr="00D7676E">
      <w:rPr>
        <w:b/>
        <w:bCs/>
        <w:sz w:val="20"/>
        <w:szCs w:val="20"/>
        <w:lang w:val="fr-FR"/>
      </w:rPr>
      <w:tab/>
    </w:r>
    <w:r>
      <w:rPr>
        <w:b/>
        <w:bCs/>
        <w:sz w:val="20"/>
        <w:szCs w:val="20"/>
        <w:lang w:val="fr-FR"/>
      </w:rPr>
      <w:t xml:space="preserve">      </w:t>
    </w:r>
    <w:r w:rsidRPr="00D7676E">
      <w:rPr>
        <w:rStyle w:val="PageNumber"/>
        <w:sz w:val="20"/>
        <w:szCs w:val="20"/>
        <w:lang w:val="fr-FR"/>
      </w:rPr>
      <w:fldChar w:fldCharType="begin"/>
    </w:r>
    <w:r w:rsidRPr="00D7676E">
      <w:rPr>
        <w:rStyle w:val="PageNumber"/>
        <w:sz w:val="20"/>
        <w:szCs w:val="20"/>
        <w:lang w:val="fr-FR"/>
      </w:rPr>
      <w:instrText xml:space="preserve"> PAGE </w:instrText>
    </w:r>
    <w:r w:rsidRPr="00D7676E">
      <w:rPr>
        <w:rStyle w:val="PageNumber"/>
        <w:sz w:val="20"/>
        <w:szCs w:val="20"/>
        <w:lang w:val="fr-FR"/>
      </w:rPr>
      <w:fldChar w:fldCharType="separate"/>
    </w:r>
    <w:r>
      <w:rPr>
        <w:rStyle w:val="PageNumber"/>
        <w:sz w:val="20"/>
        <w:szCs w:val="20"/>
        <w:lang w:val="fr-FR"/>
      </w:rPr>
      <w:t>7</w:t>
    </w:r>
    <w:r w:rsidRPr="00D7676E">
      <w:rPr>
        <w:rStyle w:val="PageNumber"/>
        <w:sz w:val="20"/>
        <w:szCs w:val="20"/>
        <w:lang w:val="fr-FR"/>
      </w:rPr>
      <w:fldChar w:fldCharType="end"/>
    </w:r>
    <w:r w:rsidRPr="00756F2B">
      <w:rPr>
        <w:rStyle w:val="PageNumber"/>
      </w:rPr>
      <w:tab/>
    </w:r>
    <w:r>
      <w:rPr>
        <w:rStyle w:val="PageNumber"/>
      </w:rPr>
      <w:t>December 14, 2025</w:t>
    </w:r>
  </w:p>
  <w:p w14:paraId="36722FCF" w14:textId="77777777" w:rsidR="00925B56" w:rsidRDefault="00925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C37F" w14:textId="77777777" w:rsidR="00690614" w:rsidRDefault="00690614" w:rsidP="00925B56">
      <w:pPr>
        <w:spacing w:after="0" w:line="240" w:lineRule="auto"/>
      </w:pPr>
      <w:r>
        <w:separator/>
      </w:r>
    </w:p>
  </w:footnote>
  <w:footnote w:type="continuationSeparator" w:id="0">
    <w:p w14:paraId="004A5772" w14:textId="77777777" w:rsidR="00690614" w:rsidRDefault="00690614" w:rsidP="00925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2D1"/>
    <w:multiLevelType w:val="multilevel"/>
    <w:tmpl w:val="640A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129F"/>
    <w:multiLevelType w:val="multilevel"/>
    <w:tmpl w:val="1CCA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3B64"/>
    <w:multiLevelType w:val="multilevel"/>
    <w:tmpl w:val="6C6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17EE3"/>
    <w:multiLevelType w:val="multilevel"/>
    <w:tmpl w:val="1812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5168B"/>
    <w:multiLevelType w:val="multilevel"/>
    <w:tmpl w:val="0C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93140"/>
    <w:multiLevelType w:val="multilevel"/>
    <w:tmpl w:val="570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D3B59"/>
    <w:multiLevelType w:val="multilevel"/>
    <w:tmpl w:val="E972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05B69"/>
    <w:multiLevelType w:val="multilevel"/>
    <w:tmpl w:val="1FA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73CC3"/>
    <w:multiLevelType w:val="multilevel"/>
    <w:tmpl w:val="9E8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E6B85"/>
    <w:multiLevelType w:val="multilevel"/>
    <w:tmpl w:val="23DE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01738"/>
    <w:multiLevelType w:val="multilevel"/>
    <w:tmpl w:val="C51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A6589"/>
    <w:multiLevelType w:val="multilevel"/>
    <w:tmpl w:val="1EE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490625">
    <w:abstractNumId w:val="9"/>
  </w:num>
  <w:num w:numId="2" w16cid:durableId="2036496175">
    <w:abstractNumId w:val="3"/>
  </w:num>
  <w:num w:numId="3" w16cid:durableId="706225460">
    <w:abstractNumId w:val="4"/>
  </w:num>
  <w:num w:numId="4" w16cid:durableId="1163736797">
    <w:abstractNumId w:val="10"/>
  </w:num>
  <w:num w:numId="5" w16cid:durableId="1482193708">
    <w:abstractNumId w:val="1"/>
  </w:num>
  <w:num w:numId="6" w16cid:durableId="114446911">
    <w:abstractNumId w:val="5"/>
  </w:num>
  <w:num w:numId="7" w16cid:durableId="1015960978">
    <w:abstractNumId w:val="11"/>
  </w:num>
  <w:num w:numId="8" w16cid:durableId="1578204956">
    <w:abstractNumId w:val="0"/>
  </w:num>
  <w:num w:numId="9" w16cid:durableId="432626402">
    <w:abstractNumId w:val="6"/>
  </w:num>
  <w:num w:numId="10" w16cid:durableId="1603369330">
    <w:abstractNumId w:val="7"/>
  </w:num>
  <w:num w:numId="11" w16cid:durableId="1121875992">
    <w:abstractNumId w:val="8"/>
  </w:num>
  <w:num w:numId="12" w16cid:durableId="907300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56"/>
    <w:rsid w:val="00690614"/>
    <w:rsid w:val="00925B56"/>
    <w:rsid w:val="00C048A1"/>
    <w:rsid w:val="00C1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20B5"/>
  <w15:chartTrackingRefBased/>
  <w15:docId w15:val="{13DF32F5-5A0C-4A59-B1A5-CEBA164C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B56"/>
    <w:rPr>
      <w:rFonts w:eastAsiaTheme="majorEastAsia" w:cstheme="majorBidi"/>
      <w:color w:val="272727" w:themeColor="text1" w:themeTint="D8"/>
    </w:rPr>
  </w:style>
  <w:style w:type="paragraph" w:styleId="Title">
    <w:name w:val="Title"/>
    <w:basedOn w:val="Normal"/>
    <w:next w:val="Normal"/>
    <w:link w:val="TitleChar"/>
    <w:uiPriority w:val="10"/>
    <w:qFormat/>
    <w:rsid w:val="00925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B56"/>
    <w:pPr>
      <w:spacing w:before="160"/>
      <w:jc w:val="center"/>
    </w:pPr>
    <w:rPr>
      <w:i/>
      <w:iCs/>
      <w:color w:val="404040" w:themeColor="text1" w:themeTint="BF"/>
    </w:rPr>
  </w:style>
  <w:style w:type="character" w:customStyle="1" w:styleId="QuoteChar">
    <w:name w:val="Quote Char"/>
    <w:basedOn w:val="DefaultParagraphFont"/>
    <w:link w:val="Quote"/>
    <w:uiPriority w:val="29"/>
    <w:rsid w:val="00925B56"/>
    <w:rPr>
      <w:i/>
      <w:iCs/>
      <w:color w:val="404040" w:themeColor="text1" w:themeTint="BF"/>
    </w:rPr>
  </w:style>
  <w:style w:type="paragraph" w:styleId="ListParagraph">
    <w:name w:val="List Paragraph"/>
    <w:basedOn w:val="Normal"/>
    <w:uiPriority w:val="34"/>
    <w:qFormat/>
    <w:rsid w:val="00925B56"/>
    <w:pPr>
      <w:ind w:left="720"/>
      <w:contextualSpacing/>
    </w:pPr>
  </w:style>
  <w:style w:type="character" w:styleId="IntenseEmphasis">
    <w:name w:val="Intense Emphasis"/>
    <w:basedOn w:val="DefaultParagraphFont"/>
    <w:uiPriority w:val="21"/>
    <w:qFormat/>
    <w:rsid w:val="00925B56"/>
    <w:rPr>
      <w:i/>
      <w:iCs/>
      <w:color w:val="0F4761" w:themeColor="accent1" w:themeShade="BF"/>
    </w:rPr>
  </w:style>
  <w:style w:type="paragraph" w:styleId="IntenseQuote">
    <w:name w:val="Intense Quote"/>
    <w:basedOn w:val="Normal"/>
    <w:next w:val="Normal"/>
    <w:link w:val="IntenseQuoteChar"/>
    <w:uiPriority w:val="30"/>
    <w:qFormat/>
    <w:rsid w:val="00925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B56"/>
    <w:rPr>
      <w:i/>
      <w:iCs/>
      <w:color w:val="0F4761" w:themeColor="accent1" w:themeShade="BF"/>
    </w:rPr>
  </w:style>
  <w:style w:type="character" w:styleId="IntenseReference">
    <w:name w:val="Intense Reference"/>
    <w:basedOn w:val="DefaultParagraphFont"/>
    <w:uiPriority w:val="32"/>
    <w:qFormat/>
    <w:rsid w:val="00925B56"/>
    <w:rPr>
      <w:b/>
      <w:bCs/>
      <w:smallCaps/>
      <w:color w:val="0F4761" w:themeColor="accent1" w:themeShade="BF"/>
      <w:spacing w:val="5"/>
    </w:rPr>
  </w:style>
  <w:style w:type="paragraph" w:styleId="Caption">
    <w:name w:val="caption"/>
    <w:basedOn w:val="Normal"/>
    <w:next w:val="Normal"/>
    <w:qFormat/>
    <w:rsid w:val="00925B56"/>
    <w:pPr>
      <w:widowControl w:val="0"/>
      <w:spacing w:before="120" w:after="120" w:line="240" w:lineRule="auto"/>
    </w:pPr>
    <w:rPr>
      <w:rFonts w:ascii="Times New Roman" w:eastAsia="Times New Roman" w:hAnsi="Times New Roman" w:cs="Times New Roman"/>
      <w:b/>
      <w:bCs/>
      <w:kern w:val="0"/>
      <w:sz w:val="20"/>
      <w:szCs w:val="20"/>
      <w14:ligatures w14:val="none"/>
    </w:rPr>
  </w:style>
  <w:style w:type="table" w:styleId="TableGrid">
    <w:name w:val="Table Grid"/>
    <w:basedOn w:val="TableNormal"/>
    <w:rsid w:val="00925B56"/>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5B56"/>
    <w:rPr>
      <w:sz w:val="16"/>
      <w:szCs w:val="16"/>
    </w:rPr>
  </w:style>
  <w:style w:type="paragraph" w:styleId="CommentText">
    <w:name w:val="annotation text"/>
    <w:basedOn w:val="Normal"/>
    <w:link w:val="CommentTextChar"/>
    <w:uiPriority w:val="99"/>
    <w:semiHidden/>
    <w:unhideWhenUsed/>
    <w:rsid w:val="00925B56"/>
    <w:pPr>
      <w:widowControl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925B5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92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B56"/>
  </w:style>
  <w:style w:type="paragraph" w:styleId="Footer">
    <w:name w:val="footer"/>
    <w:basedOn w:val="Normal"/>
    <w:link w:val="FooterChar"/>
    <w:unhideWhenUsed/>
    <w:rsid w:val="00925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B56"/>
  </w:style>
  <w:style w:type="character" w:styleId="PageNumber">
    <w:name w:val="page number"/>
    <w:basedOn w:val="DefaultParagraphFont"/>
    <w:rsid w:val="00925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1712</Words>
  <Characters>9986</Characters>
  <Application>Microsoft Office Word</Application>
  <DocSecurity>0</DocSecurity>
  <Lines>332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Love</dc:creator>
  <cp:keywords/>
  <dc:description/>
  <cp:lastModifiedBy>Byron Love</cp:lastModifiedBy>
  <cp:revision>1</cp:revision>
  <dcterms:created xsi:type="dcterms:W3CDTF">2025-12-27T22:58:00Z</dcterms:created>
  <dcterms:modified xsi:type="dcterms:W3CDTF">2025-12-27T23:12:00Z</dcterms:modified>
</cp:coreProperties>
</file>